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375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31750"/>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262255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123825</wp:posOffset>
            </wp:positionV>
            <wp:extent cx="142557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5575" cy="1587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147955</wp:posOffset>
            </wp:positionV>
            <wp:extent cx="142557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5575" cy="1587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401" w:hanging="401"/>
        <w:spacing w:after="0"/>
        <w:tabs>
          <w:tab w:leader="none" w:pos="401"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69" w:lineRule="exact"/>
        <w:rPr>
          <w:sz w:val="24"/>
          <w:szCs w:val="24"/>
          <w:color w:val="auto"/>
        </w:rPr>
      </w:pPr>
    </w:p>
    <w:p>
      <w:pPr>
        <w:ind w:left="401" w:hanging="401"/>
        <w:spacing w:after="0"/>
        <w:tabs>
          <w:tab w:leader="none" w:pos="401"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 w:lineRule="exact"/>
        <w:rPr>
          <w:sz w:val="24"/>
          <w:szCs w:val="24"/>
          <w:color w:val="auto"/>
        </w:rPr>
      </w:pPr>
    </w:p>
    <w:p>
      <w:pPr>
        <w:ind w:left="3641"/>
        <w:spacing w:after="0"/>
        <w:tabs>
          <w:tab w:leader="none" w:pos="66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3694430</wp:posOffset>
            </wp:positionH>
            <wp:positionV relativeFrom="paragraph">
              <wp:posOffset>-22225</wp:posOffset>
            </wp:positionV>
            <wp:extent cx="11366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6650"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127635</wp:posOffset>
            </wp:positionV>
            <wp:extent cx="142557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5575" cy="1587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154305</wp:posOffset>
            </wp:positionV>
            <wp:extent cx="142557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5575" cy="1587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 w:type="dxa"/>
        <w:tblCellMar>
          <w:top w:w="0" w:type="dxa"/>
          <w:left w:w="0" w:type="dxa"/>
          <w:bottom w:w="0" w:type="dxa"/>
          <w:right w:w="0" w:type="dxa"/>
        </w:tblCellMar>
      </w:tblPr>
      <w:tr>
        <w:trPr>
          <w:trHeight w:val="198"/>
        </w:trPr>
        <w:tc>
          <w:tcPr>
            <w:tcW w:w="3480" w:type="dxa"/>
            <w:vAlign w:val="bottom"/>
          </w:tcPr>
          <w:p>
            <w:pPr>
              <w:jc w:val="center"/>
              <w:ind w:left="1957"/>
              <w:spacing w:after="0"/>
              <w:rPr>
                <w:sz w:val="20"/>
                <w:szCs w:val="20"/>
                <w:color w:val="auto"/>
              </w:rPr>
            </w:pPr>
            <w:r>
              <w:rPr>
                <w:rFonts w:ascii="Times New Roman" w:cs="Times New Roman" w:eastAsia="Times New Roman" w:hAnsi="Times New Roman"/>
                <w:sz w:val="17"/>
                <w:szCs w:val="17"/>
                <w:b w:val="1"/>
                <w:bCs w:val="1"/>
                <w:color w:val="auto"/>
                <w:w w:val="94"/>
              </w:rPr>
              <w:t>Nevada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04-3562325</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40" w:type="dxa"/>
            <w:vAlign w:val="bottom"/>
            <w:gridSpan w:val="5"/>
          </w:tcPr>
          <w:p>
            <w:pPr>
              <w:jc w:val="center"/>
              <w:ind w:right="1137"/>
              <w:spacing w:after="0"/>
              <w:rPr>
                <w:sz w:val="20"/>
                <w:szCs w:val="20"/>
                <w:color w:val="auto"/>
              </w:rPr>
            </w:pPr>
            <w:r>
              <w:rPr>
                <w:rFonts w:ascii="Times New Roman" w:cs="Times New Roman" w:eastAsia="Times New Roman" w:hAnsi="Times New Roman"/>
                <w:sz w:val="17"/>
                <w:szCs w:val="17"/>
                <w:b w:val="1"/>
                <w:bCs w:val="1"/>
                <w:color w:val="auto"/>
                <w:w w:val="96"/>
              </w:rPr>
              <w:t>(State or other jurisdiction of incorporation)</w:t>
            </w:r>
          </w:p>
        </w:tc>
        <w:tc>
          <w:tcPr>
            <w:tcW w:w="4500" w:type="dxa"/>
            <w:vAlign w:val="bottom"/>
            <w:gridSpan w:val="5"/>
          </w:tcPr>
          <w:p>
            <w:pPr>
              <w:jc w:val="center"/>
              <w:ind w:right="897"/>
              <w:spacing w:after="0"/>
              <w:rPr>
                <w:sz w:val="20"/>
                <w:szCs w:val="20"/>
                <w:color w:val="auto"/>
              </w:rPr>
            </w:pPr>
            <w:r>
              <w:rPr>
                <w:rFonts w:ascii="Times New Roman" w:cs="Times New Roman" w:eastAsia="Times New Roman" w:hAnsi="Times New Roman"/>
                <w:sz w:val="17"/>
                <w:szCs w:val="17"/>
                <w:b w:val="1"/>
                <w:bCs w:val="1"/>
                <w:color w:val="auto"/>
                <w:w w:val="96"/>
              </w:rPr>
              <w:t>(I.R.S. Employer Identification No.)</w:t>
            </w:r>
          </w:p>
        </w:tc>
        <w:tc>
          <w:tcPr>
            <w:tcW w:w="0" w:type="dxa"/>
            <w:vAlign w:val="bottom"/>
          </w:tcPr>
          <w:p>
            <w:pPr>
              <w:spacing w:after="0"/>
              <w:rPr>
                <w:sz w:val="1"/>
                <w:szCs w:val="1"/>
                <w:color w:val="auto"/>
              </w:rPr>
            </w:pPr>
          </w:p>
        </w:tc>
      </w:tr>
      <w:tr>
        <w:trPr>
          <w:trHeight w:val="376"/>
        </w:trPr>
        <w:tc>
          <w:tcPr>
            <w:tcW w:w="6740" w:type="dxa"/>
            <w:vAlign w:val="bottom"/>
            <w:gridSpan w:val="5"/>
          </w:tcPr>
          <w:p>
            <w:pPr>
              <w:jc w:val="center"/>
              <w:ind w:right="1137"/>
              <w:spacing w:after="0"/>
              <w:rPr>
                <w:sz w:val="20"/>
                <w:szCs w:val="20"/>
                <w:color w:val="auto"/>
              </w:rPr>
            </w:pPr>
            <w:r>
              <w:rPr>
                <w:rFonts w:ascii="Times New Roman" w:cs="Times New Roman" w:eastAsia="Times New Roman" w:hAnsi="Times New Roman"/>
                <w:sz w:val="17"/>
                <w:szCs w:val="17"/>
                <w:b w:val="1"/>
                <w:bCs w:val="1"/>
                <w:color w:val="auto"/>
                <w:w w:val="97"/>
              </w:rPr>
              <w:t>4960 Peachtree Industrial Blvd., Suite 240, Norcross, GA</w:t>
            </w:r>
          </w:p>
        </w:tc>
        <w:tc>
          <w:tcPr>
            <w:tcW w:w="2200" w:type="dxa"/>
            <w:vAlign w:val="bottom"/>
            <w:gridSpan w:val="4"/>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30071</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40" w:type="dxa"/>
            <w:vAlign w:val="bottom"/>
            <w:gridSpan w:val="5"/>
          </w:tcPr>
          <w:p>
            <w:pPr>
              <w:jc w:val="center"/>
              <w:ind w:right="1137"/>
              <w:spacing w:after="0"/>
              <w:rPr>
                <w:sz w:val="20"/>
                <w:szCs w:val="20"/>
                <w:color w:val="auto"/>
              </w:rPr>
            </w:pPr>
            <w:r>
              <w:rPr>
                <w:rFonts w:ascii="Times New Roman" w:cs="Times New Roman" w:eastAsia="Times New Roman" w:hAnsi="Times New Roman"/>
                <w:sz w:val="17"/>
                <w:szCs w:val="17"/>
                <w:b w:val="1"/>
                <w:bCs w:val="1"/>
                <w:color w:val="auto"/>
                <w:w w:val="97"/>
              </w:rPr>
              <w:t>(Address of Principal Executive Offices)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left="317"/>
              <w:spacing w:after="0"/>
              <w:rPr>
                <w:sz w:val="20"/>
                <w:szCs w:val="20"/>
                <w:color w:val="auto"/>
              </w:rPr>
            </w:pPr>
            <w:r>
              <w:rPr>
                <w:rFonts w:ascii="Times New Roman" w:cs="Times New Roman" w:eastAsia="Times New Roman" w:hAnsi="Times New Roman"/>
                <w:sz w:val="17"/>
                <w:szCs w:val="17"/>
                <w:b w:val="1"/>
                <w:bCs w:val="1"/>
                <w:color w:val="auto"/>
                <w:w w:val="96"/>
              </w:rPr>
              <w:t>(Zip Code)</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3480" w:type="dxa"/>
            <w:vAlign w:val="bottom"/>
          </w:tcPr>
          <w:p>
            <w:pPr>
              <w:spacing w:after="0"/>
              <w:rPr>
                <w:sz w:val="24"/>
                <w:szCs w:val="24"/>
                <w:color w:val="auto"/>
              </w:rPr>
            </w:pPr>
          </w:p>
        </w:tc>
        <w:tc>
          <w:tcPr>
            <w:tcW w:w="3260" w:type="dxa"/>
            <w:vAlign w:val="bottom"/>
            <w:gridSpan w:val="4"/>
          </w:tcPr>
          <w:p>
            <w:pPr>
              <w:jc w:val="center"/>
              <w:ind w:left="937"/>
              <w:spacing w:after="0"/>
              <w:rPr>
                <w:sz w:val="20"/>
                <w:szCs w:val="20"/>
                <w:color w:val="auto"/>
              </w:rPr>
            </w:pPr>
            <w:r>
              <w:rPr>
                <w:rFonts w:ascii="Times New Roman" w:cs="Times New Roman" w:eastAsia="Times New Roman" w:hAnsi="Times New Roman"/>
                <w:sz w:val="17"/>
                <w:szCs w:val="17"/>
                <w:b w:val="1"/>
                <w:bCs w:val="1"/>
                <w:color w:val="auto"/>
                <w:w w:val="97"/>
              </w:rPr>
              <w:t>(678) 620-3186</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20" w:type="dxa"/>
            <w:vAlign w:val="bottom"/>
            <w:gridSpan w:val="6"/>
          </w:tcPr>
          <w:p>
            <w:pPr>
              <w:jc w:val="center"/>
              <w:ind w:right="577"/>
              <w:spacing w:after="0"/>
              <w:rPr>
                <w:sz w:val="20"/>
                <w:szCs w:val="20"/>
                <w:color w:val="auto"/>
              </w:rPr>
            </w:pPr>
            <w:r>
              <w:rPr>
                <w:rFonts w:ascii="Times New Roman" w:cs="Times New Roman" w:eastAsia="Times New Roman" w:hAnsi="Times New Roman"/>
                <w:sz w:val="17"/>
                <w:szCs w:val="17"/>
                <w:b w:val="1"/>
                <w:bCs w:val="1"/>
                <w:color w:val="auto"/>
                <w:w w:val="96"/>
              </w:rPr>
              <w:t>(Registrant’s Telephone Number, Including Area Code)</w:t>
            </w:r>
          </w:p>
        </w:tc>
        <w:tc>
          <w:tcPr>
            <w:tcW w:w="6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3480" w:type="dxa"/>
            <w:vAlign w:val="bottom"/>
          </w:tcPr>
          <w:p>
            <w:pPr>
              <w:spacing w:after="0"/>
              <w:rPr>
                <w:sz w:val="24"/>
                <w:szCs w:val="24"/>
                <w:color w:val="auto"/>
              </w:rPr>
            </w:pPr>
          </w:p>
        </w:tc>
        <w:tc>
          <w:tcPr>
            <w:tcW w:w="4840" w:type="dxa"/>
            <w:vAlign w:val="bottom"/>
            <w:gridSpan w:val="7"/>
          </w:tcPr>
          <w:p>
            <w:pPr>
              <w:jc w:val="center"/>
              <w:ind w:right="477"/>
              <w:spacing w:after="0"/>
              <w:rPr>
                <w:sz w:val="20"/>
                <w:szCs w:val="20"/>
                <w:color w:val="auto"/>
              </w:rPr>
            </w:pPr>
            <w:r>
              <w:rPr>
                <w:rFonts w:ascii="Times New Roman" w:cs="Times New Roman" w:eastAsia="Times New Roman" w:hAnsi="Times New Roman"/>
                <w:sz w:val="17"/>
                <w:szCs w:val="17"/>
                <w:b w:val="1"/>
                <w:bCs w:val="1"/>
                <w:color w:val="auto"/>
                <w:w w:val="97"/>
              </w:rPr>
              <w:t>Securities registered pursuant to Section 12(b) of the Act:</w:t>
            </w:r>
          </w:p>
        </w:tc>
        <w:tc>
          <w:tcPr>
            <w:tcW w:w="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20" w:type="dxa"/>
            <w:vAlign w:val="bottom"/>
            <w:gridSpan w:val="2"/>
          </w:tcPr>
          <w:p>
            <w:pPr>
              <w:jc w:val="center"/>
              <w:ind w:right="577"/>
              <w:spacing w:after="0"/>
              <w:rPr>
                <w:sz w:val="20"/>
                <w:szCs w:val="20"/>
                <w:color w:val="auto"/>
              </w:rPr>
            </w:pPr>
            <w:r>
              <w:rPr>
                <w:rFonts w:ascii="Times New Roman" w:cs="Times New Roman" w:eastAsia="Times New Roman" w:hAnsi="Times New Roman"/>
                <w:sz w:val="17"/>
                <w:szCs w:val="17"/>
                <w:b w:val="1"/>
                <w:bCs w:val="1"/>
                <w:color w:val="auto"/>
                <w:w w:val="97"/>
              </w:rPr>
              <w:t>Name of each exchange</w:t>
            </w:r>
          </w:p>
        </w:tc>
        <w:tc>
          <w:tcPr>
            <w:tcW w:w="0" w:type="dxa"/>
            <w:vAlign w:val="bottom"/>
          </w:tcPr>
          <w:p>
            <w:pPr>
              <w:spacing w:after="0"/>
              <w:rPr>
                <w:sz w:val="1"/>
                <w:szCs w:val="1"/>
                <w:color w:val="auto"/>
              </w:rPr>
            </w:pPr>
          </w:p>
        </w:tc>
      </w:tr>
      <w:tr>
        <w:trPr>
          <w:trHeight w:val="224"/>
        </w:trPr>
        <w:tc>
          <w:tcPr>
            <w:tcW w:w="348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7"/>
                <w:szCs w:val="17"/>
                <w:b w:val="1"/>
                <w:bCs w:val="1"/>
                <w:color w:val="auto"/>
                <w:w w:val="96"/>
              </w:rPr>
              <w:t>Title of each class</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Symbol</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2"/>
          </w:tcPr>
          <w:p>
            <w:pPr>
              <w:jc w:val="center"/>
              <w:ind w:right="617"/>
              <w:spacing w:after="0"/>
              <w:rPr>
                <w:sz w:val="20"/>
                <w:szCs w:val="20"/>
                <w:color w:val="auto"/>
              </w:rPr>
            </w:pPr>
            <w:r>
              <w:rPr>
                <w:rFonts w:ascii="Times New Roman" w:cs="Times New Roman" w:eastAsia="Times New Roman" w:hAnsi="Times New Roman"/>
                <w:sz w:val="17"/>
                <w:szCs w:val="17"/>
                <w:b w:val="1"/>
                <w:bCs w:val="1"/>
                <w:color w:val="auto"/>
                <w:w w:val="96"/>
              </w:rPr>
              <w:t>on which registered</w:t>
            </w:r>
          </w:p>
        </w:tc>
        <w:tc>
          <w:tcPr>
            <w:tcW w:w="0" w:type="dxa"/>
            <w:vAlign w:val="bottom"/>
          </w:tcPr>
          <w:p>
            <w:pPr>
              <w:spacing w:after="0"/>
              <w:rPr>
                <w:sz w:val="1"/>
                <w:szCs w:val="1"/>
                <w:color w:val="auto"/>
              </w:rPr>
            </w:pPr>
          </w:p>
        </w:tc>
      </w:tr>
      <w:tr>
        <w:trPr>
          <w:trHeight w:val="219"/>
        </w:trPr>
        <w:tc>
          <w:tcPr>
            <w:tcW w:w="3480" w:type="dxa"/>
            <w:vAlign w:val="bottom"/>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6"/>
              </w:rPr>
              <w:t>Common Stock, $0.001 Par Value Per Share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GALT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gridSpan w:val="2"/>
          </w:tcPr>
          <w:p>
            <w:pPr>
              <w:jc w:val="center"/>
              <w:ind w:right="577"/>
              <w:spacing w:after="0"/>
              <w:rPr>
                <w:sz w:val="20"/>
                <w:szCs w:val="20"/>
                <w:color w:val="auto"/>
              </w:rPr>
            </w:pPr>
            <w:r>
              <w:rPr>
                <w:rFonts w:ascii="Times New Roman" w:cs="Times New Roman" w:eastAsia="Times New Roman" w:hAnsi="Times New Roman"/>
                <w:sz w:val="17"/>
                <w:szCs w:val="17"/>
                <w:b w:val="1"/>
                <w:bCs w:val="1"/>
                <w:color w:val="auto"/>
                <w:w w:val="96"/>
              </w:rPr>
              <w:t>The NASDAQ Stock Market</w:t>
            </w:r>
          </w:p>
        </w:tc>
        <w:tc>
          <w:tcPr>
            <w:tcW w:w="0" w:type="dxa"/>
            <w:vAlign w:val="bottom"/>
          </w:tcPr>
          <w:p>
            <w:pPr>
              <w:spacing w:after="0"/>
              <w:rPr>
                <w:sz w:val="1"/>
                <w:szCs w:val="1"/>
                <w:color w:val="auto"/>
              </w:rPr>
            </w:pPr>
          </w:p>
        </w:tc>
      </w:tr>
      <w:tr>
        <w:trPr>
          <w:trHeight w:val="356"/>
        </w:trPr>
        <w:tc>
          <w:tcPr>
            <w:tcW w:w="3480" w:type="dxa"/>
            <w:vAlign w:val="bottom"/>
          </w:tcPr>
          <w:p>
            <w:pPr>
              <w:spacing w:after="0"/>
              <w:rPr>
                <w:sz w:val="24"/>
                <w:szCs w:val="24"/>
                <w:color w:val="auto"/>
              </w:rPr>
            </w:pPr>
          </w:p>
        </w:tc>
        <w:tc>
          <w:tcPr>
            <w:tcW w:w="4840" w:type="dxa"/>
            <w:vAlign w:val="bottom"/>
            <w:gridSpan w:val="7"/>
          </w:tcPr>
          <w:p>
            <w:pPr>
              <w:jc w:val="center"/>
              <w:ind w:right="477"/>
              <w:spacing w:after="0"/>
              <w:rPr>
                <w:sz w:val="20"/>
                <w:szCs w:val="20"/>
                <w:color w:val="auto"/>
              </w:rPr>
            </w:pPr>
            <w:r>
              <w:rPr>
                <w:rFonts w:ascii="Times New Roman" w:cs="Times New Roman" w:eastAsia="Times New Roman" w:hAnsi="Times New Roman"/>
                <w:sz w:val="17"/>
                <w:szCs w:val="17"/>
                <w:b w:val="1"/>
                <w:bCs w:val="1"/>
                <w:color w:val="auto"/>
                <w:w w:val="97"/>
              </w:rPr>
              <w:t>Securities registered pursuant to Section 12(g) of the Act:</w:t>
            </w:r>
          </w:p>
        </w:tc>
        <w:tc>
          <w:tcPr>
            <w:tcW w:w="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None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00" w:type="dxa"/>
            <w:vAlign w:val="bottom"/>
            <w:gridSpan w:val="4"/>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580" w:type="dxa"/>
            <w:vAlign w:val="bottom"/>
            <w:gridSpan w:val="3"/>
          </w:tcPr>
          <w:p>
            <w:pPr>
              <w:spacing w:after="0"/>
              <w:rPr>
                <w:sz w:val="17"/>
                <w:szCs w:val="17"/>
                <w:color w:val="auto"/>
              </w:rPr>
            </w:pPr>
          </w:p>
        </w:tc>
        <w:tc>
          <w:tcPr>
            <w:tcW w:w="620" w:type="dxa"/>
            <w:vAlign w:val="bottom"/>
            <w:vMerge w:val="restart"/>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Yes </w:t>
            </w:r>
            <w:r>
              <w:rPr>
                <w:rFonts w:ascii="Arial Unicode MS" w:cs="Arial Unicode MS" w:eastAsia="Arial Unicode MS" w:hAnsi="Arial Unicode MS"/>
                <w:sz w:val="17"/>
                <w:szCs w:val="17"/>
                <w:color w:val="auto"/>
              </w:rPr>
              <w:t>☐</w:t>
            </w:r>
          </w:p>
        </w:tc>
        <w:tc>
          <w:tcPr>
            <w:tcW w:w="2300" w:type="dxa"/>
            <w:vAlign w:val="bottom"/>
            <w:vMerge w:val="restart"/>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No </w:t>
            </w:r>
            <w:r>
              <w:rPr>
                <w:rFonts w:ascii="Arial Unicode MS" w:cs="Arial Unicode MS" w:eastAsia="Arial Unicode MS" w:hAnsi="Arial Unicode MS"/>
                <w:sz w:val="17"/>
                <w:szCs w:val="17"/>
                <w:color w:val="auto"/>
              </w:rPr>
              <w:t>☒</w:t>
            </w:r>
          </w:p>
        </w:tc>
        <w:tc>
          <w:tcPr>
            <w:tcW w:w="0" w:type="dxa"/>
            <w:vAlign w:val="bottom"/>
          </w:tcPr>
          <w:p>
            <w:pPr>
              <w:spacing w:after="0"/>
              <w:rPr>
                <w:sz w:val="1"/>
                <w:szCs w:val="1"/>
                <w:color w:val="auto"/>
              </w:rPr>
            </w:pPr>
          </w:p>
        </w:tc>
      </w:tr>
      <w:tr>
        <w:trPr>
          <w:trHeight w:val="423"/>
        </w:trPr>
        <w:tc>
          <w:tcPr>
            <w:tcW w:w="8320" w:type="dxa"/>
            <w:vAlign w:val="bottom"/>
            <w:gridSpan w:val="8"/>
          </w:tcPr>
          <w:p>
            <w:pPr>
              <w:ind w:left="400"/>
              <w:spacing w:after="0"/>
              <w:rPr>
                <w:sz w:val="20"/>
                <w:szCs w:val="20"/>
                <w:color w:val="auto"/>
              </w:rPr>
            </w:pPr>
            <w:r>
              <w:rPr>
                <w:rFonts w:ascii="Times New Roman" w:cs="Times New Roman" w:eastAsia="Times New Roman" w:hAnsi="Times New Roman"/>
                <w:sz w:val="17"/>
                <w:szCs w:val="17"/>
                <w:color w:val="auto"/>
                <w:w w:val="98"/>
              </w:rPr>
              <w:t>Indicate by check mark if the registrant is a well-known seasoned issuer, as defined in Rule 405 of the Securities Act.</w:t>
            </w:r>
          </w:p>
        </w:tc>
        <w:tc>
          <w:tcPr>
            <w:tcW w:w="620" w:type="dxa"/>
            <w:vAlign w:val="bottom"/>
            <w:vMerge w:val="continue"/>
          </w:tcPr>
          <w:p>
            <w:pPr>
              <w:spacing w:after="0"/>
              <w:rPr>
                <w:sz w:val="24"/>
                <w:szCs w:val="24"/>
                <w:color w:val="auto"/>
              </w:rPr>
            </w:pPr>
          </w:p>
        </w:tc>
        <w:tc>
          <w:tcPr>
            <w:tcW w:w="2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320" w:type="dxa"/>
            <w:vAlign w:val="bottom"/>
            <w:gridSpan w:val="8"/>
          </w:tcPr>
          <w:p>
            <w:pPr>
              <w:ind w:left="400"/>
              <w:spacing w:after="0"/>
              <w:rPr>
                <w:sz w:val="20"/>
                <w:szCs w:val="20"/>
                <w:color w:val="auto"/>
              </w:rPr>
            </w:pPr>
            <w:r>
              <w:rPr>
                <w:rFonts w:ascii="Times New Roman" w:cs="Times New Roman" w:eastAsia="Times New Roman" w:hAnsi="Times New Roman"/>
                <w:sz w:val="17"/>
                <w:szCs w:val="17"/>
                <w:color w:val="auto"/>
                <w:w w:val="97"/>
              </w:rPr>
              <w:t>Indicate by check mark if the registrant is not required to file reports pursuant to Section 13 or Section 15(d) of the Act.</w:t>
            </w:r>
          </w:p>
        </w:tc>
        <w:tc>
          <w:tcPr>
            <w:tcW w:w="620" w:type="dxa"/>
            <w:vAlign w:val="bottom"/>
          </w:tcPr>
          <w:p>
            <w:pPr>
              <w:ind w:left="160"/>
              <w:spacing w:after="0" w:line="228" w:lineRule="exact"/>
              <w:rPr>
                <w:sz w:val="20"/>
                <w:szCs w:val="20"/>
                <w:color w:val="auto"/>
              </w:rPr>
            </w:pPr>
            <w:r>
              <w:rPr>
                <w:rFonts w:ascii="Times New Roman" w:cs="Times New Roman" w:eastAsia="Times New Roman" w:hAnsi="Times New Roman"/>
                <w:sz w:val="17"/>
                <w:szCs w:val="17"/>
                <w:color w:val="auto"/>
              </w:rPr>
              <w:t xml:space="preserve">Yes </w:t>
            </w:r>
            <w:r>
              <w:rPr>
                <w:rFonts w:ascii="Arial Unicode MS" w:cs="Arial Unicode MS" w:eastAsia="Arial Unicode MS" w:hAnsi="Arial Unicode MS"/>
                <w:sz w:val="17"/>
                <w:szCs w:val="17"/>
                <w:color w:val="auto"/>
              </w:rPr>
              <w:t>☐</w:t>
            </w:r>
          </w:p>
        </w:tc>
        <w:tc>
          <w:tcPr>
            <w:tcW w:w="2300" w:type="dxa"/>
            <w:vAlign w:val="bottom"/>
          </w:tcPr>
          <w:p>
            <w:pPr>
              <w:ind w:left="140"/>
              <w:spacing w:after="0" w:line="228" w:lineRule="exact"/>
              <w:rPr>
                <w:sz w:val="20"/>
                <w:szCs w:val="20"/>
                <w:color w:val="auto"/>
              </w:rPr>
            </w:pPr>
            <w:r>
              <w:rPr>
                <w:rFonts w:ascii="Times New Roman" w:cs="Times New Roman" w:eastAsia="Times New Roman" w:hAnsi="Times New Roman"/>
                <w:sz w:val="17"/>
                <w:szCs w:val="17"/>
                <w:color w:val="auto"/>
              </w:rPr>
              <w:t xml:space="preserve">No </w:t>
            </w:r>
            <w:r>
              <w:rPr>
                <w:rFonts w:ascii="Arial Unicode MS" w:cs="Arial Unicode MS" w:eastAsia="Arial Unicode MS" w:hAnsi="Arial Unicode MS"/>
                <w:sz w:val="17"/>
                <w:szCs w:val="17"/>
                <w:color w:val="auto"/>
              </w:rPr>
              <w: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1" w:right="20" w:firstLine="405"/>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157" w:lineRule="exact"/>
        <w:rPr>
          <w:sz w:val="24"/>
          <w:szCs w:val="24"/>
          <w:color w:val="auto"/>
        </w:rPr>
      </w:pPr>
    </w:p>
    <w:p>
      <w:pPr>
        <w:ind w:left="1" w:right="40" w:firstLine="405"/>
        <w:spacing w:after="0" w:line="22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157" w:lineRule="exact"/>
        <w:rPr>
          <w:sz w:val="24"/>
          <w:szCs w:val="24"/>
          <w:color w:val="auto"/>
        </w:rPr>
      </w:pPr>
    </w:p>
    <w:p>
      <w:pPr>
        <w:jc w:val="both"/>
        <w:ind w:left="1" w:right="100" w:firstLine="405"/>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40" w:type="dxa"/>
            <w:vAlign w:val="bottom"/>
          </w:tcPr>
          <w:p>
            <w:pPr>
              <w:ind w:left="180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3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1780" w:type="dxa"/>
            <w:vAlign w:val="bottom"/>
          </w:tcPr>
          <w:p>
            <w:pPr>
              <w:ind w:left="1640"/>
              <w:spacing w:after="0" w:line="228" w:lineRule="exact"/>
              <w:rPr>
                <w:sz w:val="20"/>
                <w:szCs w:val="20"/>
                <w:color w:val="auto"/>
              </w:rPr>
            </w:pPr>
            <w:r>
              <w:rPr>
                <w:rFonts w:ascii="Arial Unicode MS" w:cs="Arial Unicode MS" w:eastAsia="Arial Unicode MS" w:hAnsi="Arial Unicode MS"/>
                <w:sz w:val="17"/>
                <w:szCs w:val="17"/>
                <w:color w:val="auto"/>
                <w:w w:val="95"/>
              </w:rPr>
              <w:t>☐</w:t>
            </w:r>
          </w:p>
        </w:tc>
      </w:tr>
      <w:tr>
        <w:trPr>
          <w:trHeight w:val="198"/>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40" w:type="dxa"/>
            <w:vAlign w:val="bottom"/>
          </w:tcPr>
          <w:p>
            <w:pPr>
              <w:ind w:left="1800"/>
              <w:spacing w:after="0" w:line="199" w:lineRule="exact"/>
              <w:rPr>
                <w:sz w:val="20"/>
                <w:szCs w:val="20"/>
                <w:color w:val="auto"/>
              </w:rPr>
            </w:pPr>
            <w:r>
              <w:rPr>
                <w:rFonts w:ascii="Arial Unicode MS" w:cs="Arial Unicode MS" w:eastAsia="Arial Unicode MS" w:hAnsi="Arial Unicode MS"/>
                <w:sz w:val="17"/>
                <w:szCs w:val="17"/>
                <w:color w:val="auto"/>
              </w:rPr>
              <w:t>☒</w:t>
            </w:r>
          </w:p>
        </w:tc>
        <w:tc>
          <w:tcPr>
            <w:tcW w:w="3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780" w:type="dxa"/>
            <w:vAlign w:val="bottom"/>
          </w:tcPr>
          <w:p>
            <w:pPr>
              <w:ind w:left="1640"/>
              <w:spacing w:after="0" w:line="199" w:lineRule="exact"/>
              <w:rPr>
                <w:sz w:val="20"/>
                <w:szCs w:val="20"/>
                <w:color w:val="auto"/>
              </w:rPr>
            </w:pPr>
            <w:r>
              <w:rPr>
                <w:rFonts w:ascii="Arial Unicode MS" w:cs="Arial Unicode MS" w:eastAsia="Arial Unicode MS" w:hAnsi="Arial Unicode MS"/>
                <w:sz w:val="17"/>
                <w:szCs w:val="17"/>
                <w:color w:val="auto"/>
                <w:w w:val="95"/>
              </w:rPr>
              <w:t>☒</w:t>
            </w:r>
          </w:p>
        </w:tc>
      </w:tr>
      <w:tr>
        <w:trPr>
          <w:trHeight w:val="279"/>
        </w:trPr>
        <w:tc>
          <w:tcPr>
            <w:tcW w:w="3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780" w:type="dxa"/>
            <w:vAlign w:val="bottom"/>
          </w:tcPr>
          <w:p>
            <w:pPr>
              <w:ind w:left="1640"/>
              <w:spacing w:after="0" w:line="228" w:lineRule="exact"/>
              <w:rPr>
                <w:sz w:val="20"/>
                <w:szCs w:val="20"/>
                <w:color w:val="auto"/>
              </w:rPr>
            </w:pPr>
            <w:r>
              <w:rPr>
                <w:rFonts w:ascii="Arial Unicode MS" w:cs="Arial Unicode MS" w:eastAsia="Arial Unicode MS" w:hAnsi="Arial Unicode MS"/>
                <w:sz w:val="17"/>
                <w:szCs w:val="17"/>
                <w:color w:val="auto"/>
                <w:w w:val="95"/>
              </w:rPr>
              <w:t>☐</w:t>
            </w:r>
          </w:p>
        </w:tc>
      </w:tr>
    </w:tbl>
    <w:p>
      <w:pPr>
        <w:spacing w:after="0" w:line="151" w:lineRule="exact"/>
        <w:rPr>
          <w:sz w:val="24"/>
          <w:szCs w:val="24"/>
          <w:color w:val="auto"/>
        </w:rPr>
      </w:pPr>
    </w:p>
    <w:p>
      <w:pPr>
        <w:ind w:left="1" w:right="480" w:firstLine="405"/>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56" w:lineRule="exact"/>
        <w:rPr>
          <w:sz w:val="24"/>
          <w:szCs w:val="24"/>
          <w:color w:val="auto"/>
        </w:rPr>
      </w:pPr>
    </w:p>
    <w:p>
      <w:pPr>
        <w:jc w:val="both"/>
        <w:ind w:left="1" w:right="140" w:firstLine="405"/>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157" w:lineRule="exact"/>
        <w:rPr>
          <w:sz w:val="24"/>
          <w:szCs w:val="24"/>
          <w:color w:val="auto"/>
        </w:rPr>
      </w:pPr>
    </w:p>
    <w:p>
      <w:pPr>
        <w:ind w:left="1" w:right="400" w:firstLine="405"/>
        <w:spacing w:after="0" w:line="220"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7"/>
          <w:szCs w:val="17"/>
          <w:color w:val="auto"/>
        </w:rPr>
        <w:t>☐</w:t>
      </w:r>
    </w:p>
    <w:p>
      <w:pPr>
        <w:spacing w:after="0" w:line="156" w:lineRule="exact"/>
        <w:rPr>
          <w:sz w:val="24"/>
          <w:szCs w:val="24"/>
          <w:color w:val="auto"/>
        </w:rPr>
      </w:pPr>
    </w:p>
    <w:p>
      <w:pPr>
        <w:ind w:left="1" w:right="120" w:firstLine="405"/>
        <w:spacing w:after="0" w:line="220" w:lineRule="exact"/>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7"/>
          <w:szCs w:val="17"/>
          <w:color w:val="auto"/>
        </w:rPr>
        <w:t>ﬃ</w:t>
      </w:r>
      <w:r>
        <w:rPr>
          <w:rFonts w:ascii="Times New Roman" w:cs="Times New Roman" w:eastAsia="Times New Roman" w:hAnsi="Times New Roman"/>
          <w:sz w:val="17"/>
          <w:szCs w:val="17"/>
          <w:color w:val="auto"/>
        </w:rPr>
        <w:t xml:space="preserve">cers during the relevant recovery period pursuant to §240.10D-1(b). </w:t>
      </w:r>
      <w:r>
        <w:rPr>
          <w:rFonts w:ascii="Arial Unicode MS" w:cs="Arial Unicode MS" w:eastAsia="Arial Unicode MS" w:hAnsi="Arial Unicode MS"/>
          <w:sz w:val="17"/>
          <w:szCs w:val="17"/>
          <w:color w:val="auto"/>
        </w:rPr>
        <w:t>☐</w:t>
      </w:r>
    </w:p>
    <w:p>
      <w:pPr>
        <w:spacing w:after="0" w:line="118" w:lineRule="exact"/>
        <w:rPr>
          <w:sz w:val="24"/>
          <w:szCs w:val="24"/>
          <w:color w:val="auto"/>
        </w:rPr>
      </w:pPr>
    </w:p>
    <w:p>
      <w:pPr>
        <w:ind w:left="401"/>
        <w:spacing w:after="0" w:line="228" w:lineRule="exact"/>
        <w:tabs>
          <w:tab w:leader="none" w:pos="8060" w:val="left"/>
          <w:tab w:leader="none" w:pos="870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ab/>
        <w:t xml:space="preserve">No </w:t>
      </w:r>
      <w:r>
        <w:rPr>
          <w:rFonts w:ascii="Arial Unicode MS" w:cs="Arial Unicode MS" w:eastAsia="Arial Unicode MS" w:hAnsi="Arial Unicode MS"/>
          <w:sz w:val="17"/>
          <w:szCs w:val="17"/>
          <w:color w:val="auto"/>
        </w:rPr>
        <w:t>☒</w:t>
      </w:r>
    </w:p>
    <w:p>
      <w:pPr>
        <w:spacing w:after="0" w:line="207" w:lineRule="exact"/>
        <w:rPr>
          <w:sz w:val="24"/>
          <w:szCs w:val="24"/>
          <w:color w:val="auto"/>
        </w:rPr>
      </w:pPr>
    </w:p>
    <w:p>
      <w:pPr>
        <w:ind w:left="1" w:right="280" w:firstLine="405"/>
        <w:spacing w:after="0" w:line="267"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computed by reference to the price at which the common equity was sold, or the average bid and asked price of such common equity, as of June 30, 2024 was approximately $112 million.</w:t>
      </w:r>
    </w:p>
    <w:p>
      <w:pPr>
        <w:spacing w:after="0" w:line="160" w:lineRule="exact"/>
        <w:rPr>
          <w:sz w:val="24"/>
          <w:szCs w:val="24"/>
          <w:color w:val="auto"/>
        </w:rPr>
      </w:pPr>
    </w:p>
    <w:p>
      <w:pPr>
        <w:ind w:left="401"/>
        <w:spacing w:after="0"/>
        <w:rPr>
          <w:sz w:val="20"/>
          <w:szCs w:val="20"/>
          <w:color w:val="auto"/>
        </w:rPr>
      </w:pPr>
      <w:r>
        <w:rPr>
          <w:rFonts w:ascii="Times New Roman" w:cs="Times New Roman" w:eastAsia="Times New Roman" w:hAnsi="Times New Roman"/>
          <w:sz w:val="17"/>
          <w:szCs w:val="17"/>
          <w:color w:val="auto"/>
        </w:rPr>
        <w:t>The number of shares outstanding of the registrant’s common stock as of March 3, 2025 was 63,180,491.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143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288290</wp:posOffset>
            </wp:positionV>
            <wp:extent cx="7143750"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ectPr>
          <w:pgSz w:w="11900" w:h="16838" w:orient="portrait"/>
          <w:cols w:equalWidth="0" w:num="1">
            <w:col w:w="11241"/>
          </w:cols>
          <w:pgMar w:left="319" w:top="486" w:right="339" w:bottom="17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20" w:type="dxa"/>
            <w:vAlign w:val="bottom"/>
            <w:gridSpan w:val="9"/>
          </w:tcPr>
          <w:p>
            <w:pPr>
              <w:jc w:val="center"/>
              <w:ind w:right="3620"/>
              <w:spacing w:after="0"/>
              <w:rPr>
                <w:sz w:val="20"/>
                <w:szCs w:val="20"/>
                <w:color w:val="auto"/>
              </w:rPr>
            </w:pPr>
            <w:r>
              <w:rPr>
                <w:rFonts w:ascii="Times New Roman" w:cs="Times New Roman" w:eastAsia="Times New Roman" w:hAnsi="Times New Roman"/>
                <w:sz w:val="17"/>
                <w:szCs w:val="17"/>
                <w:b w:val="1"/>
                <w:bCs w:val="1"/>
                <w:color w:val="auto"/>
                <w:w w:val="96"/>
              </w:rPr>
              <w:t>INDEX TO FORM 10-K</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940" w:type="dxa"/>
            <w:vAlign w:val="bottom"/>
            <w:gridSpan w:val="11"/>
          </w:tcPr>
          <w:p>
            <w:pPr>
              <w:jc w:val="center"/>
              <w:ind w:right="322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 2022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1"/>
        </w:trPr>
        <w:tc>
          <w:tcPr>
            <w:tcW w:w="1120" w:type="dxa"/>
            <w:vAlign w:val="bottom"/>
            <w:gridSpan w:val="6"/>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PART 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CCEEFF"/>
            </w:tcBorders>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1.</w:t>
            </w:r>
          </w:p>
        </w:tc>
        <w:tc>
          <w:tcPr>
            <w:tcW w:w="600" w:type="dxa"/>
            <w:vAlign w:val="bottom"/>
            <w:tcBorders>
              <w:bottom w:val="single" w:sz="8" w:color="0000EE"/>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w w:val="95"/>
              </w:rPr>
              <w:t>Business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1A.</w:t>
            </w:r>
          </w:p>
        </w:tc>
        <w:tc>
          <w:tcPr>
            <w:tcW w:w="840" w:type="dxa"/>
            <w:vAlign w:val="bottom"/>
            <w:tcBorders>
              <w:bottom w:val="single" w:sz="8" w:color="0000EE"/>
            </w:tcBorders>
            <w:gridSpan w:val="4"/>
          </w:tcPr>
          <w:p>
            <w:pPr>
              <w:spacing w:after="0" w:line="161" w:lineRule="exact"/>
              <w:rPr>
                <w:sz w:val="20"/>
                <w:szCs w:val="20"/>
                <w:color w:val="auto"/>
              </w:rPr>
            </w:pPr>
            <w:r>
              <w:rPr>
                <w:rFonts w:ascii="Times New Roman" w:cs="Times New Roman" w:eastAsia="Times New Roman" w:hAnsi="Times New Roman"/>
                <w:sz w:val="17"/>
                <w:szCs w:val="17"/>
                <w:color w:val="0000EE"/>
                <w:w w:val="95"/>
              </w:rPr>
              <w:t>Risk Factors</w:t>
            </w:r>
          </w:p>
        </w:tc>
        <w:tc>
          <w:tcPr>
            <w:tcW w:w="8740" w:type="dxa"/>
            <w:vAlign w:val="bottom"/>
            <w:gridSpan w:val="19"/>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1B.</w:t>
            </w:r>
          </w:p>
        </w:tc>
        <w:tc>
          <w:tcPr>
            <w:tcW w:w="9580" w:type="dxa"/>
            <w:vAlign w:val="bottom"/>
            <w:gridSpan w:val="23"/>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Unresolved Staff Comments</w:t>
            </w:r>
          </w:p>
        </w:tc>
        <w:tc>
          <w:tcPr>
            <w:tcW w:w="5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00" w:type="dxa"/>
            <w:vAlign w:val="bottom"/>
            <w:tcBorders>
              <w:top w:val="single" w:sz="8" w:color="CCEEFF"/>
            </w:tcBorders>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IC</w:t>
            </w:r>
          </w:p>
        </w:tc>
        <w:tc>
          <w:tcPr>
            <w:tcW w:w="1880" w:type="dxa"/>
            <w:vAlign w:val="bottom"/>
            <w:tcBorders>
              <w:top w:val="single" w:sz="8" w:color="0000EE"/>
            </w:tcBorders>
            <w:gridSpan w:val="11"/>
          </w:tcPr>
          <w:p>
            <w:pPr>
              <w:spacing w:after="0" w:line="161" w:lineRule="exact"/>
              <w:rPr>
                <w:sz w:val="20"/>
                <w:szCs w:val="20"/>
                <w:color w:val="auto"/>
              </w:rPr>
            </w:pPr>
            <w:r>
              <w:rPr>
                <w:rFonts w:ascii="Times New Roman" w:cs="Times New Roman" w:eastAsia="Times New Roman" w:hAnsi="Times New Roman"/>
                <w:sz w:val="17"/>
                <w:szCs w:val="17"/>
                <w:color w:val="0000EE"/>
              </w:rPr>
              <w:t>Cybersecurity</w:t>
            </w:r>
          </w:p>
        </w:tc>
        <w:tc>
          <w:tcPr>
            <w:tcW w:w="7700" w:type="dxa"/>
            <w:vAlign w:val="bottom"/>
            <w:tcBorders>
              <w:top w:val="single" w:sz="8" w:color="CCEEFF"/>
            </w:tcBorders>
            <w:gridSpan w:val="12"/>
          </w:tcPr>
          <w:p>
            <w:pPr>
              <w:spacing w:after="0"/>
              <w:rPr>
                <w:sz w:val="14"/>
                <w:szCs w:val="14"/>
                <w:color w:val="auto"/>
              </w:rPr>
            </w:pPr>
          </w:p>
        </w:tc>
        <w:tc>
          <w:tcPr>
            <w:tcW w:w="540" w:type="dxa"/>
            <w:vAlign w:val="bottom"/>
            <w:tcBorders>
              <w:top w:val="single" w:sz="8" w:color="CCEEFF"/>
            </w:tcBorders>
          </w:tcPr>
          <w:p>
            <w:pPr>
              <w:jc w:val="right"/>
              <w:spacing w:after="0" w:line="161" w:lineRule="exact"/>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2.</w:t>
            </w:r>
          </w:p>
        </w:tc>
        <w:tc>
          <w:tcPr>
            <w:tcW w:w="680" w:type="dxa"/>
            <w:vAlign w:val="bottom"/>
            <w:tcBorders>
              <w:bottom w:val="single" w:sz="8" w:color="0000EE"/>
            </w:tcBorders>
            <w:gridSpan w:val="2"/>
          </w:tcPr>
          <w:p>
            <w:pPr>
              <w:spacing w:after="0" w:line="161" w:lineRule="exact"/>
              <w:rPr>
                <w:sz w:val="20"/>
                <w:szCs w:val="20"/>
                <w:color w:val="auto"/>
              </w:rPr>
            </w:pPr>
            <w:r>
              <w:rPr>
                <w:rFonts w:ascii="Times New Roman" w:cs="Times New Roman" w:eastAsia="Times New Roman" w:hAnsi="Times New Roman"/>
                <w:sz w:val="17"/>
                <w:szCs w:val="17"/>
                <w:color w:val="0000EE"/>
                <w:w w:val="95"/>
              </w:rPr>
              <w:t>Properties</w:t>
            </w:r>
          </w:p>
        </w:tc>
        <w:tc>
          <w:tcPr>
            <w:tcW w:w="8900" w:type="dxa"/>
            <w:vAlign w:val="bottom"/>
            <w:gridSpan w:val="21"/>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CCEEFF"/>
            </w:tcBorders>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3.</w:t>
            </w:r>
          </w:p>
        </w:tc>
        <w:tc>
          <w:tcPr>
            <w:tcW w:w="1240" w:type="dxa"/>
            <w:vAlign w:val="bottom"/>
            <w:tcBorders>
              <w:bottom w:val="single" w:sz="8" w:color="0000EE"/>
            </w:tcBorders>
            <w:gridSpan w:val="7"/>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w w:val="96"/>
              </w:rPr>
              <w:t>Legal Proceedings</w:t>
            </w:r>
          </w:p>
        </w:tc>
        <w:tc>
          <w:tcPr>
            <w:tcW w:w="8340" w:type="dxa"/>
            <w:vAlign w:val="bottom"/>
            <w:tcBorders>
              <w:bottom w:val="single" w:sz="8" w:color="CCEEFF"/>
            </w:tcBorders>
            <w:gridSpan w:val="16"/>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4.</w:t>
            </w:r>
          </w:p>
        </w:tc>
        <w:tc>
          <w:tcPr>
            <w:tcW w:w="9580" w:type="dxa"/>
            <w:vAlign w:val="bottom"/>
            <w:gridSpan w:val="23"/>
          </w:tcPr>
          <w:p>
            <w:pPr>
              <w:spacing w:after="0" w:line="161" w:lineRule="exact"/>
              <w:rPr>
                <w:sz w:val="20"/>
                <w:szCs w:val="20"/>
                <w:color w:val="auto"/>
              </w:rPr>
            </w:pPr>
            <w:r>
              <w:rPr>
                <w:rFonts w:ascii="Times New Roman" w:cs="Times New Roman" w:eastAsia="Times New Roman" w:hAnsi="Times New Roman"/>
                <w:sz w:val="17"/>
                <w:szCs w:val="17"/>
                <w:color w:val="0000EE"/>
              </w:rPr>
              <w:t>Mine Safety Disclosure</w:t>
            </w: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PART II</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w w:val="95"/>
              </w:rPr>
              <w:t>ITEM 5.</w:t>
            </w:r>
          </w:p>
        </w:tc>
        <w:tc>
          <w:tcPr>
            <w:tcW w:w="520" w:type="dxa"/>
            <w:vAlign w:val="bottom"/>
            <w:gridSpan w:val="3"/>
            <w:shd w:val="clear" w:color="auto" w:fill="CCEEFF"/>
          </w:tcPr>
          <w:p>
            <w:pPr>
              <w:spacing w:after="0"/>
              <w:rPr>
                <w:sz w:val="17"/>
                <w:szCs w:val="17"/>
                <w:color w:val="auto"/>
              </w:rPr>
            </w:pPr>
          </w:p>
        </w:tc>
        <w:tc>
          <w:tcPr>
            <w:tcW w:w="9580" w:type="dxa"/>
            <w:vAlign w:val="bottom"/>
            <w:gridSpan w:val="23"/>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 Securities</w:t>
            </w:r>
          </w:p>
        </w:tc>
        <w:tc>
          <w:tcPr>
            <w:tcW w:w="5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tcBorders>
              <w:top w:val="single" w:sz="8" w:color="CCEEFF"/>
            </w:tcBorders>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6.</w:t>
            </w:r>
          </w:p>
        </w:tc>
        <w:tc>
          <w:tcPr>
            <w:tcW w:w="740" w:type="dxa"/>
            <w:vAlign w:val="bottom"/>
            <w:tcBorders>
              <w:top w:val="single" w:sz="8" w:color="0000EE"/>
              <w:bottom w:val="single" w:sz="8" w:color="0000EE"/>
            </w:tcBorders>
            <w:gridSpan w:val="3"/>
          </w:tcPr>
          <w:p>
            <w:pPr>
              <w:spacing w:after="0" w:line="161" w:lineRule="exact"/>
              <w:rPr>
                <w:sz w:val="20"/>
                <w:szCs w:val="20"/>
                <w:color w:val="auto"/>
              </w:rPr>
            </w:pPr>
            <w:r>
              <w:rPr>
                <w:rFonts w:ascii="Times New Roman" w:cs="Times New Roman" w:eastAsia="Times New Roman" w:hAnsi="Times New Roman"/>
                <w:sz w:val="17"/>
                <w:szCs w:val="17"/>
                <w:color w:val="0000EE"/>
                <w:w w:val="96"/>
              </w:rPr>
              <w:t>[Reserved]</w:t>
            </w:r>
          </w:p>
        </w:tc>
        <w:tc>
          <w:tcPr>
            <w:tcW w:w="6680" w:type="dxa"/>
            <w:vAlign w:val="bottom"/>
            <w:tcBorders>
              <w:top w:val="single" w:sz="8" w:color="0000EE"/>
            </w:tcBorders>
            <w:gridSpan w:val="19"/>
          </w:tcPr>
          <w:p>
            <w:pPr>
              <w:spacing w:after="0"/>
              <w:rPr>
                <w:sz w:val="14"/>
                <w:szCs w:val="14"/>
                <w:color w:val="auto"/>
              </w:rPr>
            </w:pPr>
          </w:p>
        </w:tc>
        <w:tc>
          <w:tcPr>
            <w:tcW w:w="21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jc w:val="right"/>
              <w:spacing w:after="0" w:line="161" w:lineRule="exact"/>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CCEEFF"/>
            </w:tcBorders>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7.</w:t>
            </w:r>
          </w:p>
        </w:tc>
        <w:tc>
          <w:tcPr>
            <w:tcW w:w="5940" w:type="dxa"/>
            <w:vAlign w:val="bottom"/>
            <w:tcBorders>
              <w:bottom w:val="single" w:sz="8" w:color="0000EE"/>
            </w:tcBorders>
            <w:gridSpan w:val="19"/>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w w:val="96"/>
              </w:rPr>
              <w:t>Management’s Discussion and Analysis of Financial Condition and Results of Operations</w:t>
            </w:r>
          </w:p>
        </w:tc>
        <w:tc>
          <w:tcPr>
            <w:tcW w:w="364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7A.</w:t>
            </w:r>
          </w:p>
        </w:tc>
        <w:tc>
          <w:tcPr>
            <w:tcW w:w="9580" w:type="dxa"/>
            <w:vAlign w:val="bottom"/>
            <w:gridSpan w:val="23"/>
          </w:tcPr>
          <w:p>
            <w:pPr>
              <w:spacing w:after="0" w:line="161" w:lineRule="exact"/>
              <w:rPr>
                <w:sz w:val="20"/>
                <w:szCs w:val="20"/>
                <w:color w:val="auto"/>
              </w:rPr>
            </w:pPr>
            <w:r>
              <w:rPr>
                <w:rFonts w:ascii="Times New Roman" w:cs="Times New Roman" w:eastAsia="Times New Roman" w:hAnsi="Times New Roman"/>
                <w:sz w:val="17"/>
                <w:szCs w:val="17"/>
                <w:color w:val="0000EE"/>
              </w:rPr>
              <w:t>Quantitative and Qualitative Discussions About Market Risk</w:t>
            </w: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8.</w:t>
            </w:r>
          </w:p>
        </w:tc>
        <w:tc>
          <w:tcPr>
            <w:tcW w:w="4020" w:type="dxa"/>
            <w:vAlign w:val="bottom"/>
            <w:tcBorders>
              <w:top w:val="single" w:sz="8" w:color="0000EE"/>
            </w:tcBorders>
            <w:gridSpan w:val="16"/>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5560" w:type="dxa"/>
            <w:vAlign w:val="bottom"/>
            <w:gridSpan w:val="7"/>
            <w:shd w:val="clear" w:color="auto" w:fill="CCEEFF"/>
          </w:tcPr>
          <w:p>
            <w:pPr>
              <w:spacing w:after="0"/>
              <w:rPr>
                <w:sz w:val="15"/>
                <w:szCs w:val="15"/>
                <w:color w:val="auto"/>
              </w:rPr>
            </w:pPr>
          </w:p>
        </w:tc>
        <w:tc>
          <w:tcPr>
            <w:tcW w:w="5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9.</w:t>
            </w:r>
          </w:p>
        </w:tc>
        <w:tc>
          <w:tcPr>
            <w:tcW w:w="5960" w:type="dxa"/>
            <w:vAlign w:val="bottom"/>
            <w:tcBorders>
              <w:bottom w:val="single" w:sz="8" w:color="0000EE"/>
            </w:tcBorders>
            <w:gridSpan w:val="20"/>
          </w:tcPr>
          <w:p>
            <w:pPr>
              <w:spacing w:after="0" w:line="161" w:lineRule="exact"/>
              <w:rPr>
                <w:sz w:val="20"/>
                <w:szCs w:val="20"/>
                <w:color w:val="auto"/>
              </w:rPr>
            </w:pPr>
            <w:r>
              <w:rPr>
                <w:rFonts w:ascii="Times New Roman" w:cs="Times New Roman" w:eastAsia="Times New Roman" w:hAnsi="Times New Roman"/>
                <w:sz w:val="17"/>
                <w:szCs w:val="17"/>
                <w:color w:val="0000EE"/>
                <w:w w:val="97"/>
              </w:rPr>
              <w:t>Changes in and Disagreements with Accountants on Accounting and Financial Disclosure</w:t>
            </w:r>
          </w:p>
        </w:tc>
        <w:tc>
          <w:tcPr>
            <w:tcW w:w="3620" w:type="dxa"/>
            <w:vAlign w:val="bottom"/>
            <w:gridSpan w:val="3"/>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CCEEFF"/>
            </w:tcBorders>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9A.</w:t>
            </w:r>
          </w:p>
        </w:tc>
        <w:tc>
          <w:tcPr>
            <w:tcW w:w="1660" w:type="dxa"/>
            <w:vAlign w:val="bottom"/>
            <w:tcBorders>
              <w:bottom w:val="single" w:sz="8" w:color="0000EE"/>
              <w:right w:val="single" w:sz="8" w:color="CCEEFF"/>
            </w:tcBorders>
            <w:gridSpan w:val="10"/>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w w:val="96"/>
              </w:rPr>
              <w:t>Controls and Procedures</w:t>
            </w:r>
          </w:p>
        </w:tc>
        <w:tc>
          <w:tcPr>
            <w:tcW w:w="792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9B.</w:t>
            </w:r>
          </w:p>
        </w:tc>
        <w:tc>
          <w:tcPr>
            <w:tcW w:w="1220" w:type="dxa"/>
            <w:vAlign w:val="bottom"/>
            <w:tcBorders>
              <w:bottom w:val="single" w:sz="8" w:color="0000EE"/>
            </w:tcBorders>
            <w:gridSpan w:val="6"/>
          </w:tcPr>
          <w:p>
            <w:pPr>
              <w:spacing w:after="0" w:line="161" w:lineRule="exact"/>
              <w:rPr>
                <w:sz w:val="20"/>
                <w:szCs w:val="20"/>
                <w:color w:val="auto"/>
              </w:rPr>
            </w:pPr>
            <w:r>
              <w:rPr>
                <w:rFonts w:ascii="Times New Roman" w:cs="Times New Roman" w:eastAsia="Times New Roman" w:hAnsi="Times New Roman"/>
                <w:sz w:val="17"/>
                <w:szCs w:val="17"/>
                <w:color w:val="0000EE"/>
                <w:w w:val="96"/>
              </w:rPr>
              <w:t>Other Information</w:t>
            </w:r>
          </w:p>
        </w:tc>
        <w:tc>
          <w:tcPr>
            <w:tcW w:w="8360" w:type="dxa"/>
            <w:vAlign w:val="bottom"/>
            <w:gridSpan w:val="17"/>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9C</w:t>
            </w:r>
          </w:p>
        </w:tc>
        <w:tc>
          <w:tcPr>
            <w:tcW w:w="9580" w:type="dxa"/>
            <w:vAlign w:val="bottom"/>
            <w:gridSpan w:val="23"/>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5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PART III</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Borders>
              <w:top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auto"/>
                <w:w w:val="92"/>
              </w:rPr>
              <w:t>ITEM 10.</w:t>
            </w:r>
          </w:p>
        </w:tc>
        <w:tc>
          <w:tcPr>
            <w:tcW w:w="460" w:type="dxa"/>
            <w:vAlign w:val="bottom"/>
            <w:tcBorders>
              <w:top w:val="single" w:sz="8" w:color="CCEEFF"/>
            </w:tcBorders>
            <w:gridSpan w:val="2"/>
          </w:tcPr>
          <w:p>
            <w:pPr>
              <w:spacing w:after="0"/>
              <w:rPr>
                <w:sz w:val="14"/>
                <w:szCs w:val="14"/>
                <w:color w:val="auto"/>
              </w:rPr>
            </w:pPr>
          </w:p>
        </w:tc>
        <w:tc>
          <w:tcPr>
            <w:tcW w:w="9580" w:type="dxa"/>
            <w:vAlign w:val="bottom"/>
            <w:tcBorders>
              <w:top w:val="single" w:sz="8" w:color="CCEEFF"/>
            </w:tcBorders>
            <w:gridSpan w:val="23"/>
          </w:tcPr>
          <w:p>
            <w:pPr>
              <w:spacing w:after="0" w:line="161" w:lineRule="exact"/>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540" w:type="dxa"/>
            <w:vAlign w:val="bottom"/>
            <w:tcBorders>
              <w:top w:val="single" w:sz="8" w:color="CCEEFF"/>
            </w:tcBorders>
          </w:tcPr>
          <w:p>
            <w:pPr>
              <w:jc w:val="right"/>
              <w:spacing w:after="0" w:line="161" w:lineRule="exact"/>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11.</w:t>
            </w:r>
          </w:p>
        </w:tc>
        <w:tc>
          <w:tcPr>
            <w:tcW w:w="3760" w:type="dxa"/>
            <w:vAlign w:val="bottom"/>
            <w:tcBorders>
              <w:top w:val="single" w:sz="8" w:color="0000EE"/>
            </w:tcBorders>
            <w:gridSpan w:val="1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Executive Compensation</w:t>
            </w:r>
          </w:p>
        </w:tc>
        <w:tc>
          <w:tcPr>
            <w:tcW w:w="5820" w:type="dxa"/>
            <w:vAlign w:val="bottom"/>
            <w:gridSpan w:val="8"/>
            <w:shd w:val="clear" w:color="auto" w:fill="CCEEFF"/>
          </w:tcPr>
          <w:p>
            <w:pPr>
              <w:spacing w:after="0"/>
              <w:rPr>
                <w:sz w:val="15"/>
                <w:szCs w:val="15"/>
                <w:color w:val="auto"/>
              </w:rPr>
            </w:pPr>
          </w:p>
        </w:tc>
        <w:tc>
          <w:tcPr>
            <w:tcW w:w="5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12.</w:t>
            </w:r>
          </w:p>
        </w:tc>
        <w:tc>
          <w:tcPr>
            <w:tcW w:w="9580" w:type="dxa"/>
            <w:vAlign w:val="bottom"/>
            <w:gridSpan w:val="23"/>
          </w:tcPr>
          <w:p>
            <w:pPr>
              <w:spacing w:after="0" w:line="161"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CCEEFF"/>
            </w:tcBorders>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13.</w:t>
            </w:r>
          </w:p>
        </w:tc>
        <w:tc>
          <w:tcPr>
            <w:tcW w:w="4740" w:type="dxa"/>
            <w:vAlign w:val="bottom"/>
            <w:tcBorders>
              <w:top w:val="single" w:sz="8" w:color="0000EE"/>
              <w:bottom w:val="single" w:sz="8" w:color="0000EE"/>
            </w:tcBorders>
            <w:gridSpan w:val="18"/>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w w:val="96"/>
              </w:rPr>
              <w:t>Certain Relationships, Related Transactions and Director Independence</w:t>
            </w:r>
          </w:p>
        </w:tc>
        <w:tc>
          <w:tcPr>
            <w:tcW w:w="196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288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0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14.</w:t>
            </w:r>
          </w:p>
        </w:tc>
        <w:tc>
          <w:tcPr>
            <w:tcW w:w="9580" w:type="dxa"/>
            <w:vAlign w:val="bottom"/>
            <w:gridSpan w:val="23"/>
          </w:tcPr>
          <w:p>
            <w:pPr>
              <w:spacing w:after="0" w:line="161"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right w:val="single" w:sz="8" w:color="CCEEFF"/>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40" w:type="dxa"/>
            <w:vAlign w:val="bottom"/>
            <w:tcBorders>
              <w:bottom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b w:val="1"/>
                <w:bCs w:val="1"/>
                <w:color w:val="auto"/>
                <w:w w:val="89"/>
              </w:rPr>
              <w:t>PART IV</w:t>
            </w:r>
          </w:p>
        </w:tc>
        <w:tc>
          <w:tcPr>
            <w:tcW w:w="46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ITEM 15.</w:t>
            </w:r>
          </w:p>
        </w:tc>
        <w:tc>
          <w:tcPr>
            <w:tcW w:w="9580" w:type="dxa"/>
            <w:vAlign w:val="bottom"/>
            <w:gridSpan w:val="23"/>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Exhibits and Financial Statement Schedules</w:t>
            </w:r>
          </w:p>
        </w:tc>
        <w:tc>
          <w:tcPr>
            <w:tcW w:w="5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tcBorders>
              <w:top w:val="single" w:sz="8" w:color="CCEEFF"/>
            </w:tcBorders>
            <w:gridSpan w:val="5"/>
          </w:tcPr>
          <w:p>
            <w:pPr>
              <w:spacing w:after="0" w:line="161" w:lineRule="exact"/>
              <w:rPr>
                <w:sz w:val="20"/>
                <w:szCs w:val="20"/>
                <w:color w:val="auto"/>
              </w:rPr>
            </w:pPr>
            <w:r>
              <w:rPr>
                <w:rFonts w:ascii="Times New Roman" w:cs="Times New Roman" w:eastAsia="Times New Roman" w:hAnsi="Times New Roman"/>
                <w:sz w:val="17"/>
                <w:szCs w:val="17"/>
                <w:color w:val="auto"/>
              </w:rPr>
              <w:t>ITEM 16</w:t>
            </w:r>
          </w:p>
        </w:tc>
        <w:tc>
          <w:tcPr>
            <w:tcW w:w="2900" w:type="dxa"/>
            <w:vAlign w:val="bottom"/>
            <w:tcBorders>
              <w:top w:val="single" w:sz="8" w:color="0000EE"/>
            </w:tcBorders>
            <w:gridSpan w:val="13"/>
          </w:tcPr>
          <w:p>
            <w:pPr>
              <w:spacing w:after="0" w:line="161" w:lineRule="exact"/>
              <w:rPr>
                <w:sz w:val="20"/>
                <w:szCs w:val="20"/>
                <w:color w:val="auto"/>
              </w:rPr>
            </w:pPr>
            <w:r>
              <w:rPr>
                <w:rFonts w:ascii="Times New Roman" w:cs="Times New Roman" w:eastAsia="Times New Roman" w:hAnsi="Times New Roman"/>
                <w:sz w:val="17"/>
                <w:szCs w:val="17"/>
                <w:color w:val="0000EE"/>
              </w:rPr>
              <w:t>Form 10-K Summary</w:t>
            </w:r>
          </w:p>
        </w:tc>
        <w:tc>
          <w:tcPr>
            <w:tcW w:w="6680" w:type="dxa"/>
            <w:vAlign w:val="bottom"/>
            <w:tcBorders>
              <w:top w:val="single" w:sz="8" w:color="CCEEFF"/>
            </w:tcBorders>
            <w:gridSpan w:val="10"/>
          </w:tcPr>
          <w:p>
            <w:pPr>
              <w:spacing w:after="0"/>
              <w:rPr>
                <w:sz w:val="14"/>
                <w:szCs w:val="14"/>
                <w:color w:val="auto"/>
              </w:rPr>
            </w:pPr>
          </w:p>
        </w:tc>
        <w:tc>
          <w:tcPr>
            <w:tcW w:w="540" w:type="dxa"/>
            <w:vAlign w:val="bottom"/>
            <w:tcBorders>
              <w:top w:val="single" w:sz="8" w:color="CCEEFF"/>
            </w:tcBorders>
          </w:tcPr>
          <w:p>
            <w:pPr>
              <w:jc w:val="right"/>
              <w:spacing w:after="0" w:line="161" w:lineRule="exact"/>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SIGNATURES</w:t>
            </w:r>
          </w:p>
        </w:tc>
        <w:tc>
          <w:tcPr>
            <w:tcW w:w="6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3" w:name="page4"/>
    <w:bookmarkEnd w:id="3"/>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1" w:lineRule="exact"/>
        <w:rPr>
          <w:sz w:val="20"/>
          <w:szCs w:val="20"/>
          <w:color w:val="auto"/>
        </w:rPr>
      </w:pPr>
    </w:p>
    <w:p>
      <w:pPr>
        <w:ind w:left="1"/>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5"/>
          <w:szCs w:val="15"/>
          <w:b w:val="1"/>
          <w:bCs w:val="1"/>
          <w:i w:val="1"/>
          <w:iCs w:val="1"/>
          <w:color w:val="auto"/>
        </w:rPr>
        <w:t>Business</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5" w:lineRule="exact"/>
        <w:rPr>
          <w:sz w:val="20"/>
          <w:szCs w:val="20"/>
          <w:color w:val="auto"/>
        </w:rPr>
      </w:pPr>
    </w:p>
    <w:p>
      <w:pPr>
        <w:ind w:left="1" w:firstLine="595"/>
        <w:spacing w:after="0" w:line="246" w:lineRule="auto"/>
        <w:rPr>
          <w:sz w:val="20"/>
          <w:szCs w:val="20"/>
          <w:color w:val="auto"/>
        </w:rPr>
      </w:pPr>
      <w:r>
        <w:rPr>
          <w:rFonts w:ascii="Times New Roman" w:cs="Times New Roman" w:eastAsia="Times New Roman" w:hAnsi="Times New Roman"/>
          <w:sz w:val="17"/>
          <w:szCs w:val="17"/>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81" w:lineRule="exact"/>
        <w:rPr>
          <w:sz w:val="20"/>
          <w:szCs w:val="20"/>
          <w:color w:val="auto"/>
        </w:rPr>
      </w:pPr>
    </w:p>
    <w:p>
      <w:pPr>
        <w:ind w:left="1" w:right="60" w:firstLine="595"/>
        <w:spacing w:after="0" w:line="247" w:lineRule="auto"/>
        <w:rPr>
          <w:sz w:val="20"/>
          <w:szCs w:val="20"/>
          <w:color w:val="auto"/>
        </w:rPr>
      </w:pPr>
      <w:r>
        <w:rPr>
          <w:rFonts w:ascii="Times New Roman" w:cs="Times New Roman" w:eastAsia="Times New Roman" w:hAnsi="Times New Roman"/>
          <w:sz w:val="17"/>
          <w:szCs w:val="17"/>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79" w:lineRule="exact"/>
        <w:rPr>
          <w:sz w:val="20"/>
          <w:szCs w:val="20"/>
          <w:color w:val="auto"/>
        </w:rPr>
      </w:pPr>
    </w:p>
    <w:p>
      <w:pPr>
        <w:ind w:left="1" w:right="40" w:firstLine="595"/>
        <w:spacing w:after="0" w:line="248" w:lineRule="auto"/>
        <w:rPr>
          <w:sz w:val="20"/>
          <w:szCs w:val="20"/>
          <w:color w:val="auto"/>
        </w:rPr>
      </w:pPr>
      <w:r>
        <w:rPr>
          <w:rFonts w:ascii="Times New Roman" w:cs="Times New Roman" w:eastAsia="Times New Roman" w:hAnsi="Times New Roman"/>
          <w:sz w:val="17"/>
          <w:szCs w:val="17"/>
          <w:color w:val="auto"/>
        </w:rPr>
        <w:t xml:space="preserve">In February 2023, we completed randomizations totaling 357 patients in a large, global Phase 2b/3 clinical trial, the NAVIGATE trial. Our study protocol was filed with the FDA on April 30, 2020, for a seamless adaptively-designed Phase 2b/3 clinical study evaluating the safety and efficacy of our galectin-3 inhibitor, belapectin, for the prevention of esophageal varices in patients with non-alcoholic steatohepatitis (NASH) cirrhosis Further details are available at </w:t>
      </w:r>
      <w:r>
        <w:rPr>
          <w:rFonts w:ascii="Times New Roman" w:cs="Times New Roman" w:eastAsia="Times New Roman" w:hAnsi="Times New Roman"/>
          <w:sz w:val="17"/>
          <w:szCs w:val="17"/>
          <w:u w:val="single" w:color="auto"/>
          <w:color w:val="auto"/>
        </w:rPr>
        <w:t>www.clinicaltrials.gov</w:t>
      </w:r>
      <w:r>
        <w:rPr>
          <w:rFonts w:ascii="Times New Roman" w:cs="Times New Roman" w:eastAsia="Times New Roman" w:hAnsi="Times New Roman"/>
          <w:sz w:val="17"/>
          <w:szCs w:val="17"/>
          <w:color w:val="auto"/>
        </w:rPr>
        <w:t xml:space="preserve"> under study NCT04365868. The information contained therein is not incorporated herein by reference. In September 2020, the Company received a letter from the FDA providing comments, asking questions and providing guidance on various aspects of the ongoing NAVIGATE trial. These comments were addressed, and the study proceeded accordingly.</w:t>
      </w:r>
    </w:p>
    <w:p>
      <w:pPr>
        <w:spacing w:after="0" w:line="177" w:lineRule="exact"/>
        <w:rPr>
          <w:sz w:val="20"/>
          <w:szCs w:val="20"/>
          <w:color w:val="auto"/>
        </w:rPr>
      </w:pPr>
    </w:p>
    <w:p>
      <w:pPr>
        <w:ind w:left="1" w:right="140" w:firstLine="595"/>
        <w:spacing w:after="0" w:line="281" w:lineRule="auto"/>
        <w:rPr>
          <w:sz w:val="20"/>
          <w:szCs w:val="20"/>
          <w:color w:val="auto"/>
        </w:rPr>
      </w:pPr>
      <w:r>
        <w:rPr>
          <w:rFonts w:ascii="Times New Roman" w:cs="Times New Roman" w:eastAsia="Times New Roman" w:hAnsi="Times New Roman"/>
          <w:sz w:val="15"/>
          <w:szCs w:val="15"/>
          <w:color w:val="auto"/>
        </w:rPr>
        <w:t>Based on feedback from the U.S. Food and Drug Administration (FDA), the Company decided to analyze stage 1 of the NAVIGATE clinical trial results as a stand-alone trial. Therefore, the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w:t>
      </w:r>
    </w:p>
    <w:p>
      <w:pPr>
        <w:spacing w:after="0" w:line="3" w:lineRule="exact"/>
        <w:rPr>
          <w:sz w:val="20"/>
          <w:szCs w:val="20"/>
          <w:color w:val="auto"/>
        </w:rPr>
      </w:pPr>
    </w:p>
    <w:p>
      <w:pPr>
        <w:ind w:left="1" w:right="20" w:hanging="1"/>
        <w:spacing w:after="0" w:line="244" w:lineRule="auto"/>
        <w:tabs>
          <w:tab w:leader="none" w:pos="4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 The Company continues to analyze trial data and expects to report additional information on specific biomarkers in the second quarter of 2025.</w:t>
      </w:r>
    </w:p>
    <w:p>
      <w:pPr>
        <w:spacing w:after="0" w:line="180" w:lineRule="exact"/>
        <w:rPr>
          <w:sz w:val="20"/>
          <w:szCs w:val="20"/>
          <w:color w:val="auto"/>
        </w:rPr>
      </w:pPr>
    </w:p>
    <w:p>
      <w:pPr>
        <w:jc w:val="both"/>
        <w:ind w:left="1" w:right="60" w:firstLine="595"/>
        <w:spacing w:after="0" w:line="255" w:lineRule="auto"/>
        <w:rPr>
          <w:sz w:val="20"/>
          <w:szCs w:val="20"/>
          <w:color w:val="auto"/>
        </w:rPr>
      </w:pPr>
      <w:r>
        <w:rPr>
          <w:rFonts w:ascii="Times New Roman" w:cs="Times New Roman" w:eastAsia="Times New Roman" w:hAnsi="Times New Roman"/>
          <w:sz w:val="17"/>
          <w:szCs w:val="17"/>
          <w:color w:val="auto"/>
        </w:rPr>
        <w:t>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w:t>
      </w:r>
    </w:p>
    <w:p>
      <w:pPr>
        <w:spacing w:after="0" w:line="171" w:lineRule="exact"/>
        <w:rPr>
          <w:sz w:val="20"/>
          <w:szCs w:val="20"/>
          <w:color w:val="auto"/>
        </w:rPr>
      </w:pPr>
    </w:p>
    <w:p>
      <w:pPr>
        <w:jc w:val="both"/>
        <w:ind w:left="1" w:right="60" w:firstLine="595"/>
        <w:spacing w:after="0" w:line="255" w:lineRule="auto"/>
        <w:rPr>
          <w:sz w:val="20"/>
          <w:szCs w:val="20"/>
          <w:color w:val="auto"/>
        </w:rPr>
      </w:pPr>
      <w:r>
        <w:rPr>
          <w:rFonts w:ascii="Times New Roman" w:cs="Times New Roman" w:eastAsia="Times New Roman" w:hAnsi="Times New Roman"/>
          <w:sz w:val="17"/>
          <w:szCs w:val="17"/>
          <w:color w:val="auto"/>
        </w:rPr>
        <w:t>The Company continues to analyze data from approximately 55 patients that completed 36 months of treatment prior to the ending of the trial in February 2025. While data from this group would not change the results of the NAVIGATE clinical trial for patients completing 18 months of treatment, the Company believes that any encouraging results from this group of patients may draw interest from potential strategic partners.</w:t>
      </w:r>
    </w:p>
    <w:p>
      <w:pPr>
        <w:spacing w:after="0" w:line="171" w:lineRule="exact"/>
        <w:rPr>
          <w:sz w:val="20"/>
          <w:szCs w:val="20"/>
          <w:color w:val="auto"/>
        </w:rPr>
      </w:pPr>
    </w:p>
    <w:p>
      <w:pPr>
        <w:ind w:left="1" w:right="60" w:firstLine="595"/>
        <w:spacing w:after="0" w:line="251" w:lineRule="auto"/>
        <w:rPr>
          <w:sz w:val="20"/>
          <w:szCs w:val="20"/>
          <w:color w:val="auto"/>
        </w:rPr>
      </w:pPr>
      <w:r>
        <w:rPr>
          <w:rFonts w:ascii="Times New Roman" w:cs="Times New Roman" w:eastAsia="Times New Roman" w:hAnsi="Times New Roman"/>
          <w:sz w:val="17"/>
          <w:szCs w:val="17"/>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7"/>
          <w:szCs w:val="17"/>
          <w:u w:val="single" w:color="auto"/>
          <w:color w:val="auto"/>
        </w:rPr>
        <w:t>www.clinicaltrials.gov</w:t>
      </w:r>
      <w:r>
        <w:rPr>
          <w:rFonts w:ascii="Times New Roman" w:cs="Times New Roman" w:eastAsia="Times New Roman" w:hAnsi="Times New Roman"/>
          <w:sz w:val="17"/>
          <w:szCs w:val="17"/>
          <w:color w:val="auto"/>
        </w:rPr>
        <w:t>); this study became fully enrolled in February 2022 and favorable results were reported in 2023. The information contained therein is not incorporated herein by reference.</w:t>
      </w:r>
    </w:p>
    <w:p>
      <w:pPr>
        <w:spacing w:after="0" w:line="174" w:lineRule="exact"/>
        <w:rPr>
          <w:sz w:val="20"/>
          <w:szCs w:val="20"/>
          <w:color w:val="auto"/>
        </w:rPr>
      </w:pPr>
    </w:p>
    <w:p>
      <w:pPr>
        <w:ind w:left="1" w:right="20" w:firstLine="595"/>
        <w:spacing w:after="0" w:line="248" w:lineRule="auto"/>
        <w:rPr>
          <w:sz w:val="20"/>
          <w:szCs w:val="20"/>
          <w:color w:val="auto"/>
        </w:rPr>
      </w:pPr>
      <w:r>
        <w:rPr>
          <w:rFonts w:ascii="Times New Roman" w:cs="Times New Roman" w:eastAsia="Times New Roman" w:hAnsi="Times New Roman"/>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77" w:lineRule="exact"/>
        <w:rPr>
          <w:sz w:val="20"/>
          <w:szCs w:val="20"/>
          <w:color w:val="auto"/>
        </w:rPr>
      </w:pPr>
    </w:p>
    <w:p>
      <w:pPr>
        <w:ind w:left="1" w:firstLine="595"/>
        <w:spacing w:after="0" w:line="251" w:lineRule="auto"/>
        <w:rPr>
          <w:sz w:val="20"/>
          <w:szCs w:val="20"/>
          <w:color w:val="auto"/>
        </w:rPr>
      </w:pPr>
      <w:r>
        <w:rPr>
          <w:rFonts w:ascii="Times New Roman" w:cs="Times New Roman" w:eastAsia="Times New Roman" w:hAnsi="Times New Roman"/>
          <w:sz w:val="17"/>
          <w:szCs w:val="17"/>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74"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7"/>
          <w:szCs w:val="17"/>
          <w:color w:val="auto"/>
        </w:rPr>
        <w:t>All of our proposed products are presently in development, including pre-clinical and clinical trials.</w:t>
      </w:r>
    </w:p>
    <w:p>
      <w:pPr>
        <w:spacing w:after="0" w:line="201" w:lineRule="exact"/>
        <w:rPr>
          <w:sz w:val="20"/>
          <w:szCs w:val="20"/>
          <w:color w:val="auto"/>
        </w:rPr>
      </w:pPr>
    </w:p>
    <w:p>
      <w:pPr>
        <w:ind w:left="1" w:right="40" w:firstLine="595"/>
        <w:spacing w:after="0" w:line="291" w:lineRule="auto"/>
        <w:rPr>
          <w:sz w:val="20"/>
          <w:szCs w:val="20"/>
          <w:color w:val="auto"/>
        </w:rPr>
      </w:pPr>
      <w:r>
        <w:rPr>
          <w:rFonts w:ascii="Times New Roman" w:cs="Times New Roman" w:eastAsia="Times New Roman" w:hAnsi="Times New Roman"/>
          <w:sz w:val="15"/>
          <w:szCs w:val="15"/>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ectPr>
          <w:pgSz w:w="11900" w:h="16838" w:orient="portrait"/>
          <w:cols w:equalWidth="0" w:num="1">
            <w:col w:w="11241"/>
          </w:cols>
          <w:pgMar w:left="319" w:top="116" w:right="339" w:bottom="661" w:gutter="0" w:footer="0" w:header="0"/>
        </w:sect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661"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Drug Development Programs</w:t>
      </w:r>
    </w:p>
    <w:p>
      <w:pPr>
        <w:spacing w:after="0" w:line="205"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 act as a molecular glue, bringing together molecules that have sugars on them. 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79"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Our product pipeline is shown below:</w:t>
            </w:r>
          </w:p>
        </w:tc>
        <w:tc>
          <w:tcPr>
            <w:tcW w:w="14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Indication</w:t>
            </w:r>
          </w:p>
        </w:tc>
        <w:tc>
          <w:tcPr>
            <w:tcW w:w="14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Drug</w:t>
            </w: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Status</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Prevention of esophageal</w:t>
            </w:r>
          </w:p>
        </w:tc>
        <w:tc>
          <w:tcPr>
            <w:tcW w:w="14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varices in</w:t>
            </w:r>
          </w:p>
        </w:tc>
        <w:tc>
          <w:tcPr>
            <w:tcW w:w="14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NASH cirrhosis</w:t>
            </w:r>
          </w:p>
        </w:tc>
        <w:tc>
          <w:tcPr>
            <w:tcW w:w="14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Phase 1 interaction trial:</w:t>
            </w:r>
          </w:p>
        </w:tc>
        <w:tc>
          <w:tcPr>
            <w:tcW w:w="1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belapectin</w:t>
            </w: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IND submitted January 2013. Results from the Phase 1 interaction trial were reported in 2014,</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NASH-CX trial and</w:t>
            </w:r>
          </w:p>
        </w:tc>
        <w:tc>
          <w:tcPr>
            <w:tcW w:w="1460" w:type="dxa"/>
            <w:vAlign w:val="bottom"/>
          </w:tcPr>
          <w:p>
            <w:pPr>
              <w:spacing w:after="0"/>
              <w:rPr>
                <w:sz w:val="17"/>
                <w:szCs w:val="17"/>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with final results reported in January 2015.</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NASH-FX trial</w:t>
            </w:r>
          </w:p>
        </w:tc>
        <w:tc>
          <w:tcPr>
            <w:tcW w:w="1460" w:type="dxa"/>
            <w:vAlign w:val="bottom"/>
          </w:tcPr>
          <w:p>
            <w:pPr>
              <w:spacing w:after="0"/>
              <w:rPr>
                <w:sz w:val="18"/>
                <w:szCs w:val="18"/>
                <w:color w:val="auto"/>
              </w:rPr>
            </w:pPr>
          </w:p>
        </w:tc>
        <w:tc>
          <w:tcPr>
            <w:tcW w:w="696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w w:val="97"/>
              </w:rPr>
              <w:t>The Phase 2 NASH FX trial was conducted in patients with advanced fibrosis but not cirrhosis. Its</w:t>
            </w:r>
          </w:p>
        </w:tc>
        <w:tc>
          <w:tcPr>
            <w:tcW w:w="0" w:type="dxa"/>
            <w:vAlign w:val="bottom"/>
          </w:tcPr>
          <w:p>
            <w:pPr>
              <w:spacing w:after="0"/>
              <w:rPr>
                <w:sz w:val="1"/>
                <w:szCs w:val="1"/>
                <w:color w:val="auto"/>
              </w:rPr>
            </w:pPr>
          </w:p>
        </w:tc>
      </w:tr>
      <w:tr>
        <w:trPr>
          <w:trHeight w:val="182"/>
        </w:trPr>
        <w:tc>
          <w:tcPr>
            <w:tcW w:w="2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principal purpose was to evaluate various imaging modalities. The NASH FX trial top line data</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98"/>
              </w:rPr>
              <w:t>was reported in September 2016 and published in Alimentary Pharmacology and Therapeutics in</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2016.</w:t>
            </w:r>
          </w:p>
        </w:tc>
        <w:tc>
          <w:tcPr>
            <w:tcW w:w="0" w:type="dxa"/>
            <w:vAlign w:val="bottom"/>
          </w:tcPr>
          <w:p>
            <w:pPr>
              <w:spacing w:after="0"/>
              <w:rPr>
                <w:sz w:val="1"/>
                <w:szCs w:val="1"/>
                <w:color w:val="auto"/>
              </w:rPr>
            </w:pPr>
          </w:p>
        </w:tc>
      </w:tr>
      <w:tr>
        <w:trPr>
          <w:trHeight w:val="380"/>
        </w:trPr>
        <w:tc>
          <w:tcPr>
            <w:tcW w:w="2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Phase 2 NASH CX trial was conducted in patients with compensated cirrhosis and portal</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hypertension. The NASH CX trial top line data was reported in December 2017 and was</w:t>
            </w: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 xml:space="preserve">published in </w:t>
            </w:r>
            <w:r>
              <w:rPr>
                <w:rFonts w:ascii="Times New Roman" w:cs="Times New Roman" w:eastAsia="Times New Roman" w:hAnsi="Times New Roman"/>
                <w:sz w:val="17"/>
                <w:szCs w:val="17"/>
                <w:i w:val="1"/>
                <w:iCs w:val="1"/>
                <w:color w:val="auto"/>
              </w:rPr>
              <w:t>Gastroenterology</w:t>
            </w:r>
            <w:r>
              <w:rPr>
                <w:rFonts w:ascii="Times New Roman" w:cs="Times New Roman" w:eastAsia="Times New Roman" w:hAnsi="Times New Roman"/>
                <w:sz w:val="17"/>
                <w:szCs w:val="17"/>
                <w:color w:val="auto"/>
              </w:rPr>
              <w:t xml:space="preserve"> in 2020.</w:t>
            </w:r>
          </w:p>
        </w:tc>
        <w:tc>
          <w:tcPr>
            <w:tcW w:w="0" w:type="dxa"/>
            <w:vAlign w:val="bottom"/>
          </w:tcPr>
          <w:p>
            <w:pPr>
              <w:spacing w:after="0"/>
              <w:rPr>
                <w:sz w:val="1"/>
                <w:szCs w:val="1"/>
                <w:color w:val="auto"/>
              </w:rPr>
            </w:pPr>
          </w:p>
        </w:tc>
      </w:tr>
      <w:tr>
        <w:trPr>
          <w:trHeight w:val="380"/>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NASH NAVIGATE</w:t>
            </w:r>
          </w:p>
        </w:tc>
        <w:tc>
          <w:tcPr>
            <w:tcW w:w="1460" w:type="dxa"/>
            <w:vAlign w:val="bottom"/>
          </w:tcPr>
          <w:p>
            <w:pPr>
              <w:spacing w:after="0"/>
              <w:rPr>
                <w:sz w:val="24"/>
                <w:szCs w:val="24"/>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99"/>
              </w:rPr>
              <w:t>Following FDA feedback, the NAVIGATE trial was for the prevention of esophageal varices in</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NASH patients with compensated cirrhosis and clinical signs of portal hypertension.. The final</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99"/>
              </w:rPr>
              <w:t>patient was randomized in February 2023 and top-line results were presented in December 2024</w:t>
            </w:r>
          </w:p>
        </w:tc>
        <w:tc>
          <w:tcPr>
            <w:tcW w:w="0" w:type="dxa"/>
            <w:vAlign w:val="bottom"/>
          </w:tcPr>
          <w:p>
            <w:pPr>
              <w:spacing w:after="0"/>
              <w:rPr>
                <w:sz w:val="1"/>
                <w:szCs w:val="1"/>
                <w:color w:val="auto"/>
              </w:rPr>
            </w:pPr>
          </w:p>
        </w:tc>
      </w:tr>
      <w:tr>
        <w:trPr>
          <w:trHeight w:val="380"/>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Phase 1 study: hepatic insufficiency</w:t>
            </w:r>
          </w:p>
        </w:tc>
        <w:tc>
          <w:tcPr>
            <w:tcW w:w="1460" w:type="dxa"/>
            <w:vAlign w:val="bottom"/>
          </w:tcPr>
          <w:p>
            <w:pPr>
              <w:spacing w:after="0"/>
              <w:rPr>
                <w:sz w:val="24"/>
                <w:szCs w:val="24"/>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 hepatic impairment study is being conducted in subjects with normal hepatic function and</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98"/>
              </w:rPr>
              <w:t>subjects with varying degrees of hepatic impairment (www.clinicaltrials.gov NCT04332432) and</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began enrolling patients in the second quarter of 2020. The study completed enrollment in</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February 2022 and favorable results were presented in 2023.</w:t>
            </w:r>
          </w:p>
        </w:tc>
        <w:tc>
          <w:tcPr>
            <w:tcW w:w="0" w:type="dxa"/>
            <w:vAlign w:val="bottom"/>
          </w:tcPr>
          <w:p>
            <w:pPr>
              <w:spacing w:after="0"/>
              <w:rPr>
                <w:sz w:val="1"/>
                <w:szCs w:val="1"/>
                <w:color w:val="auto"/>
              </w:rPr>
            </w:pPr>
          </w:p>
        </w:tc>
      </w:tr>
      <w:tr>
        <w:trPr>
          <w:trHeight w:val="397"/>
        </w:trPr>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Cancer Immunotherapy</w:t>
            </w:r>
          </w:p>
        </w:tc>
        <w:tc>
          <w:tcPr>
            <w:tcW w:w="14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ectPr>
          <w:pgSz w:w="11900" w:h="16838" w:orient="portrait"/>
          <w:cols w:equalWidth="0" w:num="1">
            <w:col w:w="11240"/>
          </w:cols>
          <w:pgMar w:left="320" w:top="116" w:right="339" w:bottom="1440" w:gutter="0" w:footer="0" w:header="0"/>
        </w:sectPr>
      </w:pPr>
    </w:p>
    <w:p>
      <w:pPr>
        <w:ind w:right="1380"/>
        <w:spacing w:after="0" w:line="267" w:lineRule="auto"/>
        <w:rPr>
          <w:sz w:val="20"/>
          <w:szCs w:val="20"/>
          <w:color w:val="auto"/>
        </w:rPr>
      </w:pPr>
      <w:r>
        <w:rPr>
          <w:rFonts w:ascii="Times New Roman" w:cs="Times New Roman" w:eastAsia="Times New Roman" w:hAnsi="Times New Roman"/>
          <w:sz w:val="17"/>
          <w:szCs w:val="17"/>
          <w:color w:val="auto"/>
        </w:rPr>
        <w:t>Melanoma, Head, Neck Squamous Cell belapectin Carcinoma (HNSCC)</w:t>
      </w:r>
    </w:p>
    <w:p>
      <w:pPr>
        <w:spacing w:after="0" w:line="20" w:lineRule="exact"/>
        <w:rPr>
          <w:sz w:val="20"/>
          <w:szCs w:val="20"/>
          <w:color w:val="auto"/>
        </w:rPr>
      </w:pPr>
      <w:r>
        <w:rPr>
          <w:sz w:val="20"/>
          <w:szCs w:val="20"/>
          <w:color w:val="auto"/>
        </w:rPr>
        <w:br w:type="column"/>
      </w:r>
    </w:p>
    <w:p>
      <w:pPr>
        <w:ind w:right="60"/>
        <w:spacing w:after="0" w:line="247" w:lineRule="auto"/>
        <w:rPr>
          <w:sz w:val="20"/>
          <w:szCs w:val="20"/>
          <w:color w:val="auto"/>
        </w:rPr>
      </w:pPr>
      <w:r>
        <w:rPr>
          <w:rFonts w:ascii="Times New Roman" w:cs="Times New Roman" w:eastAsia="Times New Roman" w:hAnsi="Times New Roman"/>
          <w:sz w:val="17"/>
          <w:szCs w:val="17"/>
          <w:color w:val="auto"/>
        </w:rPr>
        <w:t>Investigator IND study was completed. A Phase 1B study began in Q-1 2016. Early data was reported in February 2017 and additional data were reported in September 2018. Data from an extension trial was reported in July 2021 for additional melanoma and HNSCC patients which provided a rational basis for additional trials which the Company is exploring. In the third quarter of 2022, the Company announced its IND application for belapectin in combination with a checkpoint inhibitor for the treatment of HNSCC was filed and a Study May Proceed letter was received from FDA. The Company is reviewing options for financing this trial which will determine when such trial could commence.</w:t>
      </w:r>
    </w:p>
    <w:p>
      <w:pPr>
        <w:spacing w:after="0" w:line="200" w:lineRule="exact"/>
        <w:rPr>
          <w:sz w:val="20"/>
          <w:szCs w:val="20"/>
          <w:color w:val="auto"/>
        </w:rPr>
      </w:pPr>
    </w:p>
    <w:p>
      <w:pPr>
        <w:sectPr>
          <w:pgSz w:w="11900" w:h="16838" w:orient="portrait"/>
          <w:cols w:equalWidth="0" w:num="2">
            <w:col w:w="4000" w:space="720"/>
            <w:col w:w="6520"/>
          </w:cols>
          <w:pgMar w:left="320" w:top="116" w:right="339" w:bottom="1440" w:gutter="0" w:footer="0" w:header="0"/>
          <w:type w:val="continuous"/>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4" w:lineRule="exact"/>
        <w:rPr>
          <w:sz w:val="20"/>
          <w:szCs w:val="20"/>
          <w:color w:val="auto"/>
        </w:rPr>
      </w:pPr>
    </w:p>
    <w:p>
      <w:pPr>
        <w:ind w:right="20" w:firstLine="447"/>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Liver cirrhosis. </w:t>
      </w:r>
      <w:r>
        <w:rPr>
          <w:rFonts w:ascii="Times New Roman" w:cs="Times New Roman" w:eastAsia="Times New Roman" w:hAnsi="Times New Roman"/>
          <w:sz w:val="17"/>
          <w:szCs w:val="17"/>
          <w:color w:val="auto"/>
        </w:rPr>
        <w:t>Belapectin is our lead product candidate for treatment of compensated NASH cirrhosis in patients with portal hypertension. Our preclinical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79" w:lineRule="exact"/>
        <w:rPr>
          <w:sz w:val="20"/>
          <w:szCs w:val="20"/>
          <w:color w:val="auto"/>
        </w:rPr>
      </w:pPr>
    </w:p>
    <w:p>
      <w:pPr>
        <w:ind w:right="100" w:firstLine="595"/>
        <w:spacing w:after="0" w:line="305" w:lineRule="auto"/>
        <w:rPr>
          <w:sz w:val="20"/>
          <w:szCs w:val="20"/>
          <w:color w:val="auto"/>
        </w:rPr>
      </w:pPr>
      <w:r>
        <w:rPr>
          <w:rFonts w:ascii="Times New Roman" w:cs="Times New Roman" w:eastAsia="Times New Roman" w:hAnsi="Times New Roman"/>
          <w:sz w:val="15"/>
          <w:szCs w:val="15"/>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36" w:lineRule="exact"/>
        <w:rPr>
          <w:sz w:val="20"/>
          <w:szCs w:val="20"/>
          <w:color w:val="auto"/>
        </w:rPr>
      </w:pPr>
    </w:p>
    <w:p>
      <w:pPr>
        <w:ind w:right="40" w:firstLine="595"/>
        <w:spacing w:after="0" w:line="249" w:lineRule="auto"/>
        <w:rPr>
          <w:sz w:val="20"/>
          <w:szCs w:val="20"/>
          <w:color w:val="auto"/>
        </w:rPr>
      </w:pPr>
      <w:r>
        <w:rPr>
          <w:rFonts w:ascii="Times New Roman" w:cs="Times New Roman" w:eastAsia="Times New Roman" w:hAnsi="Times New Roman"/>
          <w:sz w:val="17"/>
          <w:szCs w:val="17"/>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73" w:lineRule="exact"/>
        <w:rPr>
          <w:sz w:val="20"/>
          <w:szCs w:val="20"/>
          <w:color w:val="auto"/>
        </w:rPr>
      </w:pPr>
    </w:p>
    <w:p>
      <w:pPr>
        <w:ind w:right="20" w:firstLine="402"/>
        <w:spacing w:after="0" w:line="211" w:lineRule="auto"/>
        <w:rPr>
          <w:sz w:val="20"/>
          <w:szCs w:val="20"/>
          <w:color w:val="auto"/>
        </w:rPr>
      </w:pPr>
      <w:r>
        <w:rPr>
          <w:rFonts w:ascii="Times New Roman" w:cs="Times New Roman" w:eastAsia="Times New Roman" w:hAnsi="Times New Roman"/>
          <w:sz w:val="17"/>
          <w:szCs w:val="17"/>
          <w:b w:val="1"/>
          <w:bCs w:val="1"/>
          <w:color w:val="auto"/>
        </w:rPr>
        <w:t xml:space="preserve">NASH-FX Trial: </w:t>
      </w:r>
      <w:r>
        <w:rPr>
          <w:rFonts w:ascii="Times New Roman" w:cs="Times New Roman" w:eastAsia="Times New Roman" w:hAnsi="Times New Roman"/>
          <w:sz w:val="17"/>
          <w:szCs w:val="17"/>
          <w:color w:val="auto"/>
        </w:rPr>
        <w:t>The NASH-FX trial was a Phase 2a pilot trial for patients with NASH and advanced fibrosis that explored use of three non-invasive imaging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7"/>
          <w:szCs w:val="27"/>
          <w:color w:val="auto"/>
          <w:vertAlign w:val="superscript"/>
        </w:rPr>
        <w:t>(R)</w:t>
      </w:r>
      <w:r>
        <w:rPr>
          <w:rFonts w:ascii="Times New Roman" w:cs="Times New Roman" w:eastAsia="Times New Roman" w:hAnsi="Times New Roman"/>
          <w:sz w:val="17"/>
          <w:szCs w:val="17"/>
          <w:color w:val="auto"/>
        </w:rPr>
        <w:t>, Perspectum Diagnostics). The trial also did not meet secondary endpoints that measure liver stiffness as a surrogate for fibrosis using, magnetic resonance-elastography and FibroScan</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82" w:lineRule="exact"/>
        <w:rPr>
          <w:sz w:val="20"/>
          <w:szCs w:val="20"/>
          <w:color w:val="auto"/>
        </w:rPr>
      </w:pPr>
    </w:p>
    <w:p>
      <w:pPr>
        <w:ind w:right="140" w:firstLine="447"/>
        <w:spacing w:after="0" w:line="231" w:lineRule="auto"/>
        <w:rPr>
          <w:sz w:val="20"/>
          <w:szCs w:val="20"/>
          <w:color w:val="auto"/>
        </w:rPr>
      </w:pPr>
      <w:r>
        <w:rPr>
          <w:rFonts w:ascii="Times New Roman" w:cs="Times New Roman" w:eastAsia="Times New Roman" w:hAnsi="Times New Roman"/>
          <w:sz w:val="17"/>
          <w:szCs w:val="17"/>
          <w:b w:val="1"/>
          <w:bCs w:val="1"/>
          <w:color w:val="auto"/>
        </w:rPr>
        <w:t xml:space="preserve">NASH-CX Trial: </w:t>
      </w:r>
      <w:r>
        <w:rPr>
          <w:rFonts w:ascii="Times New Roman" w:cs="Times New Roman" w:eastAsia="Times New Roman" w:hAnsi="Times New Roman"/>
          <w:sz w:val="17"/>
          <w:szCs w:val="17"/>
          <w:color w:val="auto"/>
        </w:rPr>
        <w:t>The NASH-CX trial was a larger multi-center clinical trial that explored the use of belapectin for the treatment of patients with 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Times New Roman" w:cs="Times New Roman" w:eastAsia="Times New Roman" w:hAnsi="Times New Roman"/>
          <w:sz w:val="27"/>
          <w:szCs w:val="27"/>
          <w:color w:val="auto"/>
          <w:vertAlign w:val="superscript"/>
        </w:rPr>
        <w:t>13</w:t>
      </w:r>
      <w:r>
        <w:rPr>
          <w:rFonts w:ascii="Times New Roman" w:cs="Times New Roman" w:eastAsia="Times New Roman" w:hAnsi="Times New Roman"/>
          <w:sz w:val="17"/>
          <w:szCs w:val="17"/>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84" w:lineRule="exact"/>
        <w:rPr>
          <w:sz w:val="20"/>
          <w:szCs w:val="20"/>
          <w:color w:val="auto"/>
        </w:rPr>
      </w:pPr>
    </w:p>
    <w:p>
      <w:pPr>
        <w:ind w:right="100" w:firstLine="595"/>
        <w:spacing w:after="0" w:line="255" w:lineRule="auto"/>
        <w:rPr>
          <w:sz w:val="20"/>
          <w:szCs w:val="20"/>
          <w:color w:val="auto"/>
        </w:rPr>
      </w:pPr>
      <w:r>
        <w:rPr>
          <w:rFonts w:ascii="Times New Roman" w:cs="Times New Roman" w:eastAsia="Times New Roman" w:hAnsi="Times New Roman"/>
          <w:sz w:val="17"/>
          <w:szCs w:val="17"/>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71" w:lineRule="exact"/>
        <w:rPr>
          <w:sz w:val="20"/>
          <w:szCs w:val="20"/>
          <w:color w:val="auto"/>
        </w:rPr>
      </w:pPr>
    </w:p>
    <w:p>
      <w:pPr>
        <w:ind w:right="100" w:firstLine="595"/>
        <w:spacing w:after="0" w:line="255" w:lineRule="auto"/>
        <w:rPr>
          <w:sz w:val="20"/>
          <w:szCs w:val="20"/>
          <w:color w:val="auto"/>
        </w:rPr>
      </w:pPr>
      <w:r>
        <w:rPr>
          <w:rFonts w:ascii="Times New Roman" w:cs="Times New Roman" w:eastAsia="Times New Roman" w:hAnsi="Times New Roman"/>
          <w:sz w:val="17"/>
          <w:szCs w:val="17"/>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1"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4" w:lineRule="exact"/>
        <w:rPr>
          <w:sz w:val="20"/>
          <w:szCs w:val="20"/>
          <w:color w:val="auto"/>
        </w:rPr>
      </w:pPr>
    </w:p>
    <w:p>
      <w:pPr>
        <w:ind w:right="20" w:firstLine="595"/>
        <w:spacing w:after="0" w:line="291" w:lineRule="auto"/>
        <w:rPr>
          <w:sz w:val="20"/>
          <w:szCs w:val="20"/>
          <w:color w:val="auto"/>
        </w:rPr>
      </w:pPr>
      <w:r>
        <w:rPr>
          <w:rFonts w:ascii="Times New Roman" w:cs="Times New Roman" w:eastAsia="Times New Roman" w:hAnsi="Times New Roman"/>
          <w:sz w:val="15"/>
          <w:szCs w:val="15"/>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45" w:lineRule="exact"/>
        <w:rPr>
          <w:sz w:val="20"/>
          <w:szCs w:val="20"/>
          <w:color w:val="auto"/>
        </w:rPr>
      </w:pPr>
    </w:p>
    <w:p>
      <w:pPr>
        <w:ind w:right="40" w:firstLine="595"/>
        <w:spacing w:after="0" w:line="247" w:lineRule="auto"/>
        <w:rPr>
          <w:sz w:val="20"/>
          <w:szCs w:val="20"/>
          <w:color w:val="auto"/>
        </w:rPr>
      </w:pPr>
      <w:r>
        <w:rPr>
          <w:rFonts w:ascii="Times New Roman" w:cs="Times New Roman" w:eastAsia="Times New Roman" w:hAnsi="Times New Roman"/>
          <w:sz w:val="17"/>
          <w:szCs w:val="17"/>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7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1" w:right="20" w:firstLine="595"/>
        <w:spacing w:after="0" w:line="267" w:lineRule="auto"/>
        <w:rPr>
          <w:sz w:val="20"/>
          <w:szCs w:val="20"/>
          <w:color w:val="auto"/>
        </w:rPr>
      </w:pPr>
      <w:r>
        <w:rPr>
          <w:rFonts w:ascii="Times New Roman" w:cs="Times New Roman" w:eastAsia="Times New Roman" w:hAnsi="Times New Roman"/>
          <w:sz w:val="17"/>
          <w:szCs w:val="17"/>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7"/>
          <w:szCs w:val="17"/>
          <w:i w:val="1"/>
          <w:iCs w:val="1"/>
          <w:color w:val="auto"/>
        </w:rPr>
        <w:t>Gastroenterology</w:t>
      </w:r>
      <w:r>
        <w:rPr>
          <w:rFonts w:ascii="Times New Roman" w:cs="Times New Roman" w:eastAsia="Times New Roman" w:hAnsi="Times New Roman"/>
          <w:sz w:val="17"/>
          <w:szCs w:val="17"/>
          <w:color w:val="auto"/>
        </w:rPr>
        <w:t xml:space="preserve"> 2020;158:1334–1345.</w:t>
      </w:r>
    </w:p>
    <w:p>
      <w:pPr>
        <w:spacing w:after="0" w:line="156" w:lineRule="exact"/>
        <w:rPr>
          <w:sz w:val="20"/>
          <w:szCs w:val="20"/>
          <w:color w:val="auto"/>
        </w:rPr>
      </w:pPr>
    </w:p>
    <w:p>
      <w:pPr>
        <w:ind w:left="1" w:right="60" w:firstLine="402"/>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NASH NAVIGATE Trial: </w:t>
      </w:r>
      <w:r>
        <w:rPr>
          <w:rFonts w:ascii="Times New Roman" w:cs="Times New Roman" w:eastAsia="Times New Roman" w:hAnsi="Times New Roman"/>
          <w:sz w:val="17"/>
          <w:szCs w:val="17"/>
          <w:color w:val="auto"/>
        </w:rPr>
        <w:t>Building on the experience of the NASH-CX trial, the NAVIGATE Trial was designed as a seamless adaptively-designed Phase 2b/3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evaluated by an esophago-gastro-duodeno endoscopy,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w:t>
      </w:r>
    </w:p>
    <w:p>
      <w:pPr>
        <w:spacing w:after="0" w:line="181" w:lineRule="exact"/>
        <w:rPr>
          <w:sz w:val="20"/>
          <w:szCs w:val="20"/>
          <w:color w:val="auto"/>
        </w:rPr>
      </w:pPr>
    </w:p>
    <w:p>
      <w:pPr>
        <w:ind w:left="1" w:firstLine="595"/>
        <w:spacing w:after="0" w:line="281" w:lineRule="auto"/>
        <w:rPr>
          <w:sz w:val="20"/>
          <w:szCs w:val="20"/>
          <w:color w:val="auto"/>
        </w:rPr>
      </w:pPr>
      <w:r>
        <w:rPr>
          <w:rFonts w:ascii="Times New Roman" w:cs="Times New Roman" w:eastAsia="Times New Roman" w:hAnsi="Times New Roman"/>
          <w:sz w:val="15"/>
          <w:szCs w:val="15"/>
          <w:color w:val="auto"/>
        </w:rPr>
        <w:t>Based on feedback from the U.S. Food and Drug Administration (FDA), the Company has decided to analyze stage 1 of the NAVIGATE clinical trial results as a stand-alone trial. Therefore, a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w:t>
      </w:r>
    </w:p>
    <w:p>
      <w:pPr>
        <w:spacing w:after="0" w:line="3" w:lineRule="exact"/>
        <w:rPr>
          <w:sz w:val="20"/>
          <w:szCs w:val="20"/>
          <w:color w:val="auto"/>
        </w:rPr>
      </w:pPr>
    </w:p>
    <w:p>
      <w:pPr>
        <w:ind w:left="1" w:right="20" w:hanging="1"/>
        <w:spacing w:after="0" w:line="244" w:lineRule="auto"/>
        <w:tabs>
          <w:tab w:leader="none" w:pos="4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 The Company continues to analyze trial data and expects to report additional information on specific biomarkers in the second quarter of 2025.</w:t>
      </w:r>
    </w:p>
    <w:p>
      <w:pPr>
        <w:spacing w:after="0" w:line="180" w:lineRule="exact"/>
        <w:rPr>
          <w:sz w:val="20"/>
          <w:szCs w:val="20"/>
          <w:color w:val="auto"/>
        </w:rPr>
      </w:pPr>
    </w:p>
    <w:p>
      <w:pPr>
        <w:jc w:val="both"/>
        <w:ind w:left="1" w:right="60" w:firstLine="595"/>
        <w:spacing w:after="0" w:line="255" w:lineRule="auto"/>
        <w:rPr>
          <w:sz w:val="20"/>
          <w:szCs w:val="20"/>
          <w:color w:val="auto"/>
        </w:rPr>
      </w:pPr>
      <w:r>
        <w:rPr>
          <w:rFonts w:ascii="Times New Roman" w:cs="Times New Roman" w:eastAsia="Times New Roman" w:hAnsi="Times New Roman"/>
          <w:sz w:val="17"/>
          <w:szCs w:val="17"/>
          <w:color w:val="auto"/>
        </w:rPr>
        <w:t>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w:t>
      </w:r>
    </w:p>
    <w:p>
      <w:pPr>
        <w:spacing w:after="0" w:line="171" w:lineRule="exact"/>
        <w:rPr>
          <w:sz w:val="20"/>
          <w:szCs w:val="20"/>
          <w:color w:val="auto"/>
        </w:rPr>
      </w:pPr>
    </w:p>
    <w:p>
      <w:pPr>
        <w:jc w:val="both"/>
        <w:ind w:left="1" w:right="40" w:firstLine="595"/>
        <w:spacing w:after="0" w:line="255" w:lineRule="auto"/>
        <w:rPr>
          <w:sz w:val="20"/>
          <w:szCs w:val="20"/>
          <w:color w:val="auto"/>
        </w:rPr>
      </w:pPr>
      <w:r>
        <w:rPr>
          <w:rFonts w:ascii="Times New Roman" w:cs="Times New Roman" w:eastAsia="Times New Roman" w:hAnsi="Times New Roman"/>
          <w:sz w:val="17"/>
          <w:szCs w:val="17"/>
          <w:color w:val="auto"/>
        </w:rPr>
        <w:t>The Company continues to analyze data from the 57 patients that completed 36 months of treatment prior to the ending of the trial in February 2025. While data from this group would not change the results of the NAVIGATE clinical trial for patients completing 18 months of treatment, the Company believes that any encouraging data from this group of patients may draw interest from potential strategic partners.</w:t>
      </w:r>
    </w:p>
    <w:p>
      <w:pPr>
        <w:spacing w:after="0" w:line="171" w:lineRule="exact"/>
        <w:rPr>
          <w:sz w:val="20"/>
          <w:szCs w:val="20"/>
          <w:color w:val="auto"/>
        </w:rPr>
      </w:pPr>
    </w:p>
    <w:p>
      <w:pPr>
        <w:ind w:left="1" w:right="80" w:firstLine="595"/>
        <w:spacing w:after="0" w:line="295" w:lineRule="auto"/>
        <w:rPr>
          <w:sz w:val="20"/>
          <w:szCs w:val="20"/>
          <w:color w:val="auto"/>
        </w:rPr>
      </w:pPr>
      <w:r>
        <w:rPr>
          <w:rFonts w:ascii="Times New Roman" w:cs="Times New Roman" w:eastAsia="Times New Roman" w:hAnsi="Times New Roman"/>
          <w:sz w:val="15"/>
          <w:szCs w:val="15"/>
          <w:color w:val="auto"/>
        </w:rPr>
        <w:t>In the NAVIGATE trial, as proposed in the protocol,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was based on clinical signs of portal hypertension, including, but not limited to, a low platelet count, an increased spleen size, an increased liver stiffness, and/or evidence of abdominal collaterals circulation.</w:t>
      </w:r>
    </w:p>
    <w:p>
      <w:pPr>
        <w:spacing w:after="0" w:line="144" w:lineRule="exact"/>
        <w:rPr>
          <w:sz w:val="20"/>
          <w:szCs w:val="20"/>
          <w:color w:val="auto"/>
        </w:rPr>
      </w:pPr>
    </w:p>
    <w:p>
      <w:pPr>
        <w:ind w:left="1" w:right="60" w:firstLine="595"/>
        <w:spacing w:after="0" w:line="251" w:lineRule="auto"/>
        <w:rPr>
          <w:sz w:val="20"/>
          <w:szCs w:val="20"/>
          <w:color w:val="auto"/>
        </w:rPr>
      </w:pPr>
      <w:r>
        <w:rPr>
          <w:rFonts w:ascii="Times New Roman" w:cs="Times New Roman" w:eastAsia="Times New Roman" w:hAnsi="Times New Roman"/>
          <w:sz w:val="17"/>
          <w:szCs w:val="17"/>
          <w:color w:val="auto"/>
        </w:rPr>
        <w:t>The focus and goal of the therapeutic program is to stop the progression of and/or reverse portal hypertension and thereby prevent the development of varices, potentially one of the most life-threatening complications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apart from a liver transplantation, no specific liver targeted, treatments are available.</w:t>
      </w:r>
    </w:p>
    <w:p>
      <w:pPr>
        <w:spacing w:after="0" w:line="174"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7"/>
          <w:szCs w:val="17"/>
          <w:color w:val="auto"/>
        </w:rPr>
        <w:t>We activated more than 150 clinical trial sites in 14 countries for the NAVIGATE trial.</w:t>
      </w:r>
    </w:p>
    <w:p>
      <w:pPr>
        <w:spacing w:after="0" w:line="201" w:lineRule="exact"/>
        <w:rPr>
          <w:sz w:val="20"/>
          <w:szCs w:val="20"/>
          <w:color w:val="auto"/>
        </w:rPr>
      </w:pPr>
    </w:p>
    <w:p>
      <w:pPr>
        <w:ind w:left="1" w:right="160" w:firstLine="595"/>
        <w:spacing w:after="0" w:line="248" w:lineRule="auto"/>
        <w:rPr>
          <w:sz w:val="20"/>
          <w:szCs w:val="20"/>
          <w:color w:val="auto"/>
        </w:rPr>
      </w:pPr>
      <w:r>
        <w:rPr>
          <w:rFonts w:ascii="Times New Roman" w:cs="Times New Roman" w:eastAsia="Times New Roman" w:hAnsi="Times New Roman"/>
          <w:sz w:val="17"/>
          <w:szCs w:val="17"/>
          <w:color w:val="auto"/>
        </w:rPr>
        <w:t>The COVID-19 pandemic delayed our regulatory and ethics approvals, recruitment of sites, and enrollment of patients for our NAVIGATE trial. For several reasons, the pandemic made enrolling patients for the NAVIGATE trial more challenging, notably because patients eligible for the NAVIGATE trial have liver cirrhosis and, as such, were at a greater health risk of complications from COVID-19 and needed to be vaccinated before taking the risk of infection associated with a visit to a healthcare facility. As we emerged from the COVID-19 pandemic, site recruitment and patient enrollment accelerated and we experienced increases in the speed of enrollment, particularly in the United States. However, we did not see the enrollment in Europe that we anticipated. Consequently, we activated multiple sites in Latin America.</w:t>
      </w:r>
    </w:p>
    <w:p>
      <w:pPr>
        <w:spacing w:after="0" w:line="177"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5"/>
          <w:szCs w:val="15"/>
          <w:color w:val="auto"/>
        </w:rPr>
        <w:t xml:space="preserve">Further details on the NAVIGATE trial can be found on </w:t>
      </w:r>
      <w:r>
        <w:rPr>
          <w:rFonts w:ascii="Times New Roman" w:cs="Times New Roman" w:eastAsia="Times New Roman" w:hAnsi="Times New Roman"/>
          <w:sz w:val="15"/>
          <w:szCs w:val="15"/>
          <w:u w:val="single" w:color="auto"/>
          <w:color w:val="auto"/>
        </w:rPr>
        <w:t>www.clinicaltrials.gov</w:t>
      </w:r>
      <w:r>
        <w:rPr>
          <w:rFonts w:ascii="Times New Roman" w:cs="Times New Roman" w:eastAsia="Times New Roman" w:hAnsi="Times New Roman"/>
          <w:sz w:val="15"/>
          <w:szCs w:val="15"/>
          <w:color w:val="auto"/>
        </w:rPr>
        <w:t xml:space="preserve"> under study NCT04365868 and on our NAVIGATE website (navigatenash.com).</w:t>
      </w:r>
    </w:p>
    <w:p>
      <w:pPr>
        <w:spacing w:after="0" w:line="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information contained therein is not incorporated herein by reference.</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firstLine="595"/>
        <w:spacing w:after="0" w:line="284" w:lineRule="auto"/>
        <w:rPr>
          <w:sz w:val="20"/>
          <w:szCs w:val="20"/>
          <w:color w:val="auto"/>
        </w:rPr>
      </w:pPr>
      <w:r>
        <w:rPr>
          <w:rFonts w:ascii="Times New Roman" w:cs="Times New Roman" w:eastAsia="Times New Roman" w:hAnsi="Times New Roman"/>
          <w:sz w:val="15"/>
          <w:szCs w:val="15"/>
          <w:color w:val="auto"/>
        </w:rPr>
        <w:t>The Company also has completed a Hepatic Impairment Study, which ran in parallel with the phase 2b/3 trial as part of the development program. The Hepatic Impairment Study was conducted at three sites and involved approximately 40 patients (divided amongst normal healthy volunteers, and patients with hepatic impairment categorized as Child-Turcotte-Pugh (CTP) classes A (mild), B (moderate), and C (severe). Each subject received a single infusion of belapectin (4 mg/kg LBM) and their serum belapectin levels were monitored for up to approximately two weeks to define the effects of various stages of cirrhosis on serum belapectin levels. The tolerance and safety of belapectin was evaluated. Enrollment in this study was completed in February 2022, and the final results were presented the T</w:t>
      </w:r>
      <w:r>
        <w:rPr>
          <w:rFonts w:ascii="Times New Roman" w:cs="Times New Roman" w:eastAsia="Times New Roman" w:hAnsi="Times New Roman"/>
          <w:sz w:val="15"/>
          <w:szCs w:val="15"/>
          <w:color w:val="333333"/>
        </w:rPr>
        <w:t>he Liver Meeting™ 2023,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333333"/>
        </w:rPr>
        <w:t xml:space="preserve">hosted by the American Association for the Study of Liver Diseases. The data indicated that belapectin exposure did not increase with the degree of hepatic insufficiency, a property that is consistent with the observed distribution of the drug into activated macrophages. </w:t>
      </w:r>
      <w:r>
        <w:rPr>
          <w:rFonts w:ascii="Times New Roman" w:cs="Times New Roman" w:eastAsia="Times New Roman" w:hAnsi="Times New Roman"/>
          <w:sz w:val="15"/>
          <w:szCs w:val="15"/>
          <w:color w:val="000000"/>
        </w:rPr>
        <w:t>Further details on this hepatic impairment study can be found on</w:t>
      </w:r>
      <w:r>
        <w:rPr>
          <w:rFonts w:ascii="Times New Roman" w:cs="Times New Roman" w:eastAsia="Times New Roman" w:hAnsi="Times New Roman"/>
          <w:sz w:val="15"/>
          <w:szCs w:val="15"/>
          <w:color w:val="333333"/>
        </w:rPr>
        <w:t xml:space="preserve"> </w:t>
      </w:r>
      <w:r>
        <w:rPr>
          <w:rFonts w:ascii="Times New Roman" w:cs="Times New Roman" w:eastAsia="Times New Roman" w:hAnsi="Times New Roman"/>
          <w:sz w:val="15"/>
          <w:szCs w:val="15"/>
          <w:u w:val="single" w:color="auto"/>
          <w:color w:val="000000"/>
        </w:rPr>
        <w:t>www.clinicaltrials.gov</w:t>
      </w:r>
      <w:r>
        <w:rPr>
          <w:rFonts w:ascii="Times New Roman" w:cs="Times New Roman" w:eastAsia="Times New Roman" w:hAnsi="Times New Roman"/>
          <w:sz w:val="15"/>
          <w:szCs w:val="15"/>
          <w:color w:val="000000"/>
        </w:rPr>
        <w:t xml:space="preserve"> study NCT04332432. The information contained therein is not incorporated herein by reference.</w:t>
      </w:r>
    </w:p>
    <w:p>
      <w:pPr>
        <w:spacing w:after="0" w:line="151" w:lineRule="exact"/>
        <w:rPr>
          <w:sz w:val="20"/>
          <w:szCs w:val="20"/>
          <w:color w:val="auto"/>
        </w:rPr>
      </w:pPr>
    </w:p>
    <w:p>
      <w:pPr>
        <w:ind w:firstLine="402"/>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Cancer Immunotherapy. </w:t>
      </w:r>
      <w:r>
        <w:rPr>
          <w:rFonts w:ascii="Times New Roman" w:cs="Times New Roman" w:eastAsia="Times New Roman" w:hAnsi="Times New Roman"/>
          <w:sz w:val="17"/>
          <w:szCs w:val="17"/>
          <w:color w:val="auto"/>
        </w:rPr>
        <w:t>We believe there is potential for galectin inhibition to play a key role in the innovative area of cancer immunotherapy. For example, there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84" w:lineRule="exact"/>
        <w:rPr>
          <w:sz w:val="20"/>
          <w:szCs w:val="20"/>
          <w:color w:val="auto"/>
        </w:rPr>
      </w:pPr>
    </w:p>
    <w:p>
      <w:pPr>
        <w:ind w:right="240" w:firstLine="595"/>
        <w:spacing w:after="0" w:line="267" w:lineRule="auto"/>
        <w:rPr>
          <w:sz w:val="20"/>
          <w:szCs w:val="20"/>
          <w:color w:val="auto"/>
        </w:rPr>
      </w:pPr>
      <w:r>
        <w:rPr>
          <w:rFonts w:ascii="Times New Roman" w:cs="Times New Roman" w:eastAsia="Times New Roman" w:hAnsi="Times New Roman"/>
          <w:sz w:val="17"/>
          <w:szCs w:val="17"/>
          <w:color w:val="auto"/>
        </w:rPr>
        <w:t>The phase IB study in combination with Yervoy was rapidly discontinued after the first patients were recruited because of the availability of new treatment in the selected population.</w:t>
      </w:r>
    </w:p>
    <w:p>
      <w:pPr>
        <w:spacing w:after="0" w:line="152" w:lineRule="exact"/>
        <w:rPr>
          <w:sz w:val="20"/>
          <w:szCs w:val="20"/>
          <w:color w:val="auto"/>
        </w:rPr>
      </w:pPr>
    </w:p>
    <w:p>
      <w:pPr>
        <w:ind w:right="40" w:firstLine="595"/>
        <w:spacing w:after="0" w:line="230" w:lineRule="auto"/>
        <w:rPr>
          <w:sz w:val="20"/>
          <w:szCs w:val="20"/>
          <w:color w:val="auto"/>
        </w:rPr>
      </w:pPr>
      <w:r>
        <w:rPr>
          <w:rFonts w:ascii="Times New Roman" w:cs="Times New Roman" w:eastAsia="Times New Roman" w:hAnsi="Times New Roman"/>
          <w:sz w:val="17"/>
          <w:szCs w:val="17"/>
          <w:color w:val="auto"/>
        </w:rPr>
        <w:t>Promising results were reported in the Phase 1b trial combining belapectin with pembrolizumab (KEYTRUDA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186" w:lineRule="exact"/>
        <w:rPr>
          <w:sz w:val="20"/>
          <w:szCs w:val="20"/>
          <w:color w:val="auto"/>
        </w:rPr>
      </w:pPr>
    </w:p>
    <w:p>
      <w:pPr>
        <w:ind w:right="60" w:firstLine="595"/>
        <w:spacing w:after="0" w:line="248" w:lineRule="auto"/>
        <w:rPr>
          <w:sz w:val="20"/>
          <w:szCs w:val="20"/>
          <w:color w:val="auto"/>
        </w:rPr>
      </w:pPr>
      <w:r>
        <w:rPr>
          <w:rFonts w:ascii="Times New Roman" w:cs="Times New Roman" w:eastAsia="Times New Roman" w:hAnsi="Times New Roman"/>
          <w:sz w:val="17"/>
          <w:szCs w:val="17"/>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 dependent in part on finding a suitable partner or obtaining financing for the trial.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Proprietary Rights</w:t>
      </w:r>
    </w:p>
    <w:p>
      <w:pPr>
        <w:spacing w:after="0" w:line="205" w:lineRule="exact"/>
        <w:rPr>
          <w:sz w:val="20"/>
          <w:szCs w:val="20"/>
          <w:color w:val="auto"/>
        </w:rPr>
      </w:pPr>
    </w:p>
    <w:p>
      <w:pPr>
        <w:ind w:right="100" w:firstLine="595"/>
        <w:spacing w:after="0" w:line="251" w:lineRule="auto"/>
        <w:rPr>
          <w:sz w:val="20"/>
          <w:szCs w:val="20"/>
          <w:color w:val="auto"/>
        </w:rPr>
      </w:pPr>
      <w:r>
        <w:rPr>
          <w:rFonts w:ascii="Times New Roman" w:cs="Times New Roman" w:eastAsia="Times New Roman" w:hAnsi="Times New Roman"/>
          <w:sz w:val="17"/>
          <w:szCs w:val="17"/>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protect our intellectual property by requiring employees, consultants, and any third parties with access to our proprietary information to execute confidentiality agreements and by restricting access to that information.</w:t>
      </w:r>
    </w:p>
    <w:p>
      <w:pPr>
        <w:spacing w:after="0" w:line="174" w:lineRule="exact"/>
        <w:rPr>
          <w:sz w:val="20"/>
          <w:szCs w:val="20"/>
          <w:color w:val="auto"/>
        </w:rPr>
      </w:pPr>
    </w:p>
    <w:p>
      <w:pPr>
        <w:ind w:right="140" w:firstLine="595"/>
        <w:spacing w:after="0" w:line="247" w:lineRule="auto"/>
        <w:rPr>
          <w:sz w:val="20"/>
          <w:szCs w:val="20"/>
          <w:color w:val="auto"/>
        </w:rPr>
      </w:pPr>
      <w:r>
        <w:rPr>
          <w:rFonts w:ascii="Times New Roman" w:cs="Times New Roman" w:eastAsia="Times New Roman" w:hAnsi="Times New Roman"/>
          <w:sz w:val="17"/>
          <w:szCs w:val="17"/>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77" w:lineRule="exact"/>
        <w:rPr>
          <w:sz w:val="20"/>
          <w:szCs w:val="20"/>
          <w:color w:val="auto"/>
        </w:rPr>
      </w:pPr>
    </w:p>
    <w:p>
      <w:pPr>
        <w:ind w:right="20" w:firstLine="595"/>
        <w:spacing w:after="0" w:line="248" w:lineRule="auto"/>
        <w:rPr>
          <w:sz w:val="20"/>
          <w:szCs w:val="20"/>
          <w:color w:val="auto"/>
        </w:rPr>
      </w:pPr>
      <w:r>
        <w:rPr>
          <w:rFonts w:ascii="Times New Roman" w:cs="Times New Roman" w:eastAsia="Times New Roman" w:hAnsi="Times New Roman"/>
          <w:sz w:val="17"/>
          <w:szCs w:val="17"/>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belapectin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140" w:firstLine="595"/>
        <w:spacing w:after="0" w:line="249" w:lineRule="auto"/>
        <w:rPr>
          <w:sz w:val="20"/>
          <w:szCs w:val="20"/>
          <w:color w:val="auto"/>
        </w:rPr>
      </w:pPr>
      <w:r>
        <w:rPr>
          <w:rFonts w:ascii="Times New Roman" w:cs="Times New Roman" w:eastAsia="Times New Roman" w:hAnsi="Times New Roman"/>
          <w:sz w:val="17"/>
          <w:szCs w:val="17"/>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belapectin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77" w:lineRule="exact"/>
        <w:rPr>
          <w:sz w:val="20"/>
          <w:szCs w:val="20"/>
          <w:color w:val="auto"/>
        </w:rPr>
      </w:pPr>
    </w:p>
    <w:p>
      <w:pPr>
        <w:ind w:firstLine="595"/>
        <w:spacing w:after="0" w:line="247" w:lineRule="auto"/>
        <w:rPr>
          <w:sz w:val="20"/>
          <w:szCs w:val="20"/>
          <w:color w:val="auto"/>
        </w:rPr>
      </w:pPr>
      <w:r>
        <w:rPr>
          <w:rFonts w:ascii="Times New Roman" w:cs="Times New Roman" w:eastAsia="Times New Roman" w:hAnsi="Times New Roman"/>
          <w:sz w:val="17"/>
          <w:szCs w:val="17"/>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belapectin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77" w:lineRule="exact"/>
        <w:rPr>
          <w:sz w:val="20"/>
          <w:szCs w:val="20"/>
          <w:color w:val="auto"/>
        </w:rPr>
      </w:pPr>
    </w:p>
    <w:p>
      <w:pPr>
        <w:ind w:right="180" w:firstLine="595"/>
        <w:spacing w:after="0" w:line="249" w:lineRule="auto"/>
        <w:rPr>
          <w:sz w:val="20"/>
          <w:szCs w:val="20"/>
          <w:color w:val="auto"/>
        </w:rPr>
      </w:pPr>
      <w:r>
        <w:rPr>
          <w:rFonts w:ascii="Times New Roman" w:cs="Times New Roman" w:eastAsia="Times New Roman" w:hAnsi="Times New Roman"/>
          <w:sz w:val="17"/>
          <w:szCs w:val="17"/>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belapectin for use in patients with liver fibrosis in combination with other potential therapeutic agents. The patent covers use of belapectin with agents directed at multiple targets, some of which are currently in clinical development for fibrotic disorders including monoclonal antibodies to connective tissue growth factor, integrins, and TGF-ß1. The patent, assigned U.S. Patent No. 8,722,645, was issued May 13, 2014.</w:t>
      </w:r>
    </w:p>
    <w:p>
      <w:pPr>
        <w:spacing w:after="0" w:line="177" w:lineRule="exact"/>
        <w:rPr>
          <w:sz w:val="20"/>
          <w:szCs w:val="20"/>
          <w:color w:val="auto"/>
        </w:rPr>
      </w:pPr>
    </w:p>
    <w:p>
      <w:pPr>
        <w:ind w:right="100" w:firstLine="595"/>
        <w:spacing w:after="0" w:line="247" w:lineRule="auto"/>
        <w:rPr>
          <w:sz w:val="20"/>
          <w:szCs w:val="20"/>
          <w:color w:val="auto"/>
        </w:rPr>
      </w:pPr>
      <w:r>
        <w:rPr>
          <w:rFonts w:ascii="Times New Roman" w:cs="Times New Roman" w:eastAsia="Times New Roman" w:hAnsi="Times New Roman"/>
          <w:sz w:val="17"/>
          <w:szCs w:val="17"/>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belapectin is covered by this patent and it provides opportunities for development of additional compounds in the class.</w:t>
      </w:r>
    </w:p>
    <w:p>
      <w:pPr>
        <w:spacing w:after="0" w:line="179" w:lineRule="exact"/>
        <w:rPr>
          <w:sz w:val="20"/>
          <w:szCs w:val="20"/>
          <w:color w:val="auto"/>
        </w:rPr>
      </w:pPr>
    </w:p>
    <w:p>
      <w:pPr>
        <w:ind w:right="20" w:firstLine="595"/>
        <w:spacing w:after="0" w:line="286" w:lineRule="auto"/>
        <w:rPr>
          <w:sz w:val="20"/>
          <w:szCs w:val="20"/>
          <w:color w:val="auto"/>
        </w:rPr>
      </w:pPr>
      <w:r>
        <w:rPr>
          <w:rFonts w:ascii="Times New Roman" w:cs="Times New Roman" w:eastAsia="Times New Roman" w:hAnsi="Times New Roman"/>
          <w:sz w:val="15"/>
          <w:szCs w:val="15"/>
          <w:color w:val="auto"/>
        </w:rPr>
        <w:t>As of December 31, 2024, Galectin Therapeutics Inc. held 19 granted U.S. patents, 86 foreign granted, and 1 U.S. patent applications pending. Many of our patents and patent applications cover composition of matter for complex carbohydrate drugs and/or methods of use for reducing toxicity and enhancing chemotherapeutic drugs by co-administering a polysaccharide with a chemotherapeutic agent or for use in treatment of fibrosis. The scheduled expiration dates of our many of our United States patents span out to 2034 before considering any potential extensions. We have corresponding patent applications pending in various territories where we see potential for commercial interest.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 Galectin Sciences LLC has 2 granted U.S. patents, 24 granted international patents, 2 US patent application pending, and 5 foreign applications pending.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w:t>
      </w:r>
    </w:p>
    <w:p>
      <w:pPr>
        <w:spacing w:after="0" w:line="203" w:lineRule="exact"/>
        <w:rPr>
          <w:sz w:val="20"/>
          <w:szCs w:val="20"/>
          <w:color w:val="auto"/>
        </w:rPr>
      </w:pPr>
    </w:p>
    <w:p>
      <w:pPr>
        <w:ind w:right="60" w:firstLine="595"/>
        <w:spacing w:after="0" w:line="296" w:lineRule="auto"/>
        <w:rPr>
          <w:sz w:val="20"/>
          <w:szCs w:val="20"/>
          <w:color w:val="auto"/>
        </w:rPr>
      </w:pPr>
      <w:r>
        <w:rPr>
          <w:rFonts w:ascii="Times New Roman" w:cs="Times New Roman" w:eastAsia="Times New Roman" w:hAnsi="Times New Roman"/>
          <w:sz w:val="15"/>
          <w:szCs w:val="15"/>
          <w:color w:val="auto"/>
        </w:rPr>
        <w:t xml:space="preserve">Our primary focus is on the design and testing of agents that target galectins in various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We do not anticipate building additional in-house research or development facilities or hiring significantly additional staff other than for purposes of designing and managing our out-sourced research and development activities.</w:t>
      </w:r>
    </w:p>
    <w:p>
      <w:pPr>
        <w:spacing w:after="0" w:line="143"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74" w:lineRule="exact"/>
        <w:rPr>
          <w:sz w:val="20"/>
          <w:szCs w:val="20"/>
          <w:color w:val="auto"/>
        </w:rPr>
      </w:pPr>
    </w:p>
    <w:p>
      <w:pPr>
        <w:ind w:right="240" w:firstLine="595"/>
        <w:spacing w:after="0" w:line="267" w:lineRule="auto"/>
        <w:rPr>
          <w:sz w:val="20"/>
          <w:szCs w:val="20"/>
          <w:color w:val="auto"/>
        </w:rPr>
      </w:pPr>
      <w:r>
        <w:rPr>
          <w:rFonts w:ascii="Times New Roman" w:cs="Times New Roman" w:eastAsia="Times New Roman" w:hAnsi="Times New Roman"/>
          <w:sz w:val="17"/>
          <w:szCs w:val="17"/>
          <w:color w:val="auto"/>
        </w:rPr>
        <w:t>During the years ended December 31, 2024 and 2023, our expenditures for research and development were $36.1 million and $32.1 million, respectively. We expense all research and development costs as they are incurred.</w:t>
      </w:r>
    </w:p>
    <w:p>
      <w:pPr>
        <w:spacing w:after="0" w:line="160" w:lineRule="exact"/>
        <w:rPr>
          <w:sz w:val="20"/>
          <w:szCs w:val="20"/>
          <w:color w:val="auto"/>
        </w:rPr>
      </w:pPr>
    </w:p>
    <w:p>
      <w:pPr>
        <w:ind w:right="100" w:firstLine="595"/>
        <w:spacing w:after="0" w:line="267" w:lineRule="auto"/>
        <w:rPr>
          <w:sz w:val="20"/>
          <w:szCs w:val="20"/>
          <w:color w:val="auto"/>
        </w:rPr>
      </w:pPr>
      <w:r>
        <w:rPr>
          <w:rFonts w:ascii="Times New Roman" w:cs="Times New Roman" w:eastAsia="Times New Roman" w:hAnsi="Times New Roman"/>
          <w:sz w:val="17"/>
          <w:szCs w:val="17"/>
          <w:color w:val="auto"/>
        </w:rPr>
        <w:t>In January 2014 we created, with SBH Sciences, Inc. (Natick, Ma), Galectin Sciences, LLC, a collaborative joint venture to research and develop small organic molecule inhibitors of galectin-3 for oral administration.</w:t>
      </w:r>
    </w:p>
    <w:p>
      <w:pPr>
        <w:spacing w:after="0" w:line="158" w:lineRule="exact"/>
        <w:rPr>
          <w:sz w:val="20"/>
          <w:szCs w:val="20"/>
          <w:color w:val="auto"/>
        </w:rPr>
      </w:pPr>
    </w:p>
    <w:p>
      <w:pPr>
        <w:ind w:firstLine="595"/>
        <w:spacing w:after="0" w:line="247" w:lineRule="auto"/>
        <w:rPr>
          <w:sz w:val="20"/>
          <w:szCs w:val="20"/>
          <w:color w:val="auto"/>
        </w:rPr>
      </w:pPr>
      <w:r>
        <w:rPr>
          <w:rFonts w:ascii="Times New Roman" w:cs="Times New Roman" w:eastAsia="Times New Roman" w:hAnsi="Times New Roman"/>
          <w:sz w:val="17"/>
          <w:szCs w:val="17"/>
          <w:color w:val="auto"/>
        </w:rPr>
        <w:t xml:space="preserve">Using computer molecular modeling techniques coupled with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screening of a variety of compound libraries, SBH Sciences had identified several small organic molecules with promising galectin-3 inhibitory activity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preclinical disease models of fibrosis and cancer in which galectins play a key role. Several patent applications have been filed to protect the various series of compounds discovered by these efforts.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140" w:firstLine="595"/>
        <w:spacing w:after="0" w:line="251" w:lineRule="auto"/>
        <w:rPr>
          <w:sz w:val="20"/>
          <w:szCs w:val="20"/>
          <w:color w:val="auto"/>
        </w:rPr>
      </w:pPr>
      <w:r>
        <w:rPr>
          <w:rFonts w:ascii="Times New Roman" w:cs="Times New Roman" w:eastAsia="Times New Roman" w:hAnsi="Times New Roman"/>
          <w:sz w:val="17"/>
          <w:szCs w:val="17"/>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follow-on compounds to our first in class galectin inhibitors, belapectin and GM-CT-01. These efforts have identified several potential compounds which are continuing to be explored to identify lead molecules that may be identified for clinical development.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Marketing</w:t>
      </w:r>
    </w:p>
    <w:p>
      <w:pPr>
        <w:spacing w:after="0" w:line="205" w:lineRule="exact"/>
        <w:rPr>
          <w:sz w:val="20"/>
          <w:szCs w:val="20"/>
          <w:color w:val="auto"/>
        </w:rPr>
      </w:pPr>
    </w:p>
    <w:p>
      <w:pPr>
        <w:ind w:right="40" w:firstLine="595"/>
        <w:spacing w:after="0" w:line="248" w:lineRule="auto"/>
        <w:rPr>
          <w:sz w:val="20"/>
          <w:szCs w:val="20"/>
          <w:color w:val="auto"/>
        </w:rPr>
      </w:pPr>
      <w:r>
        <w:rPr>
          <w:rFonts w:ascii="Times New Roman" w:cs="Times New Roman" w:eastAsia="Times New Roman" w:hAnsi="Times New Roman"/>
          <w:sz w:val="17"/>
          <w:szCs w:val="17"/>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 FDA requirements. Additionally, belapectin is manufactured as a sterile liquid formulation. We have experienced, and may experience in the future, certain delays related to global supply chain issues with certain components necessary to manufacture belapectin.</w:t>
      </w:r>
    </w:p>
    <w:p>
      <w:pPr>
        <w:spacing w:after="0" w:line="177" w:lineRule="exact"/>
        <w:rPr>
          <w:sz w:val="20"/>
          <w:szCs w:val="20"/>
          <w:color w:val="auto"/>
        </w:rPr>
      </w:pPr>
    </w:p>
    <w:p>
      <w:pPr>
        <w:ind w:right="260" w:firstLine="595"/>
        <w:spacing w:after="0" w:line="291" w:lineRule="auto"/>
        <w:rPr>
          <w:sz w:val="20"/>
          <w:szCs w:val="20"/>
          <w:color w:val="auto"/>
        </w:rPr>
      </w:pPr>
      <w:r>
        <w:rPr>
          <w:rFonts w:ascii="Times New Roman" w:cs="Times New Roman" w:eastAsia="Times New Roman" w:hAnsi="Times New Roman"/>
          <w:sz w:val="15"/>
          <w:szCs w:val="15"/>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analytical testing and other laboratories and marketers will involve risks relating to our reduced control, and other risks including those discussed in “Risk Factors — Risks Related to our Company — There are risks associated with reliance on our third parties for manufacturing, marketing, sales, managed care and distribution infrastructure channels.”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5" w:lineRule="exact"/>
        <w:rPr>
          <w:sz w:val="20"/>
          <w:szCs w:val="20"/>
          <w:color w:val="auto"/>
        </w:rPr>
      </w:pPr>
    </w:p>
    <w:p>
      <w:pPr>
        <w:ind w:right="80" w:firstLine="595"/>
        <w:spacing w:after="0" w:line="295" w:lineRule="auto"/>
        <w:rPr>
          <w:sz w:val="20"/>
          <w:szCs w:val="20"/>
          <w:color w:val="auto"/>
        </w:rPr>
      </w:pPr>
      <w:r>
        <w:rPr>
          <w:rFonts w:ascii="Times New Roman" w:cs="Times New Roman" w:eastAsia="Times New Roman" w:hAnsi="Times New Roman"/>
          <w:sz w:val="15"/>
          <w:szCs w:val="15"/>
          <w:color w:val="auto"/>
        </w:rPr>
        <w:t>Many biotechnology and pharmaceutical companies are developing new technologies for the treatment of cancer, fibrotic diseases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44" w:lineRule="exact"/>
        <w:rPr>
          <w:sz w:val="20"/>
          <w:szCs w:val="20"/>
          <w:color w:val="auto"/>
        </w:rPr>
      </w:pPr>
    </w:p>
    <w:p>
      <w:pPr>
        <w:ind w:right="600" w:firstLine="595"/>
        <w:spacing w:after="0" w:line="267" w:lineRule="auto"/>
        <w:rPr>
          <w:sz w:val="20"/>
          <w:szCs w:val="20"/>
          <w:color w:val="auto"/>
        </w:rPr>
      </w:pPr>
      <w:r>
        <w:rPr>
          <w:rFonts w:ascii="Times New Roman" w:cs="Times New Roman" w:eastAsia="Times New Roman" w:hAnsi="Times New Roman"/>
          <w:sz w:val="17"/>
          <w:szCs w:val="17"/>
          <w:color w:val="auto"/>
        </w:rPr>
        <w:t>See “Risk Factors — Risks Related to Our Company — We face intense competition in the biotechnology and pharmaceutical industries” for additional discussion related to our current and potential competition.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05" w:lineRule="exact"/>
        <w:rPr>
          <w:sz w:val="20"/>
          <w:szCs w:val="20"/>
          <w:color w:val="auto"/>
        </w:rPr>
      </w:pPr>
    </w:p>
    <w:p>
      <w:pPr>
        <w:ind w:right="20" w:firstLine="595"/>
        <w:spacing w:after="0" w:line="249" w:lineRule="auto"/>
        <w:rPr>
          <w:sz w:val="20"/>
          <w:szCs w:val="20"/>
          <w:color w:val="auto"/>
        </w:rPr>
      </w:pPr>
      <w:r>
        <w:rPr>
          <w:rFonts w:ascii="Times New Roman" w:cs="Times New Roman" w:eastAsia="Times New Roman" w:hAnsi="Times New Roman"/>
          <w:sz w:val="17"/>
          <w:szCs w:val="17"/>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Drug Approval Process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Drugs may not be marketed in the U.S. until the FDA has approved them. The steps required before a drug may be marketed in the U.S. include:</w:t>
      </w:r>
    </w:p>
    <w:p>
      <w:pPr>
        <w:spacing w:after="0" w:line="201" w:lineRule="exact"/>
        <w:rPr>
          <w:sz w:val="20"/>
          <w:szCs w:val="20"/>
          <w:color w:val="auto"/>
        </w:rPr>
      </w:pPr>
    </w:p>
    <w:p>
      <w:pPr>
        <w:ind w:left="780" w:hanging="446"/>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Pre-clinical laboratory tests, animal studies, and formulation studies,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IND for human clinical testing, which must become effective before human clinical trials may begin,</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and well-controlled human clinical trials to establish the safety and efficacy of the drug for each indication,</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 NDA,</w:t>
      </w:r>
    </w:p>
    <w:p>
      <w:pPr>
        <w:spacing w:after="0" w:line="201"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of the manufacturing facility or facilities, at which the drug is produced to assess compliance with current good manufacturing procedures (“cGMP”) established by the FDA,</w:t>
      </w:r>
    </w:p>
    <w:p>
      <w:pPr>
        <w:spacing w:after="0" w:line="160"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 and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a trademark used in connection with a pharmaceutical.</w:t>
      </w:r>
    </w:p>
    <w:p>
      <w:pPr>
        <w:spacing w:after="0" w:line="201" w:lineRule="exact"/>
        <w:rPr>
          <w:sz w:val="20"/>
          <w:szCs w:val="20"/>
          <w:color w:val="auto"/>
        </w:rPr>
      </w:pPr>
    </w:p>
    <w:p>
      <w:pPr>
        <w:ind w:right="20" w:firstLine="595"/>
        <w:spacing w:after="0" w:line="251" w:lineRule="auto"/>
        <w:rPr>
          <w:sz w:val="20"/>
          <w:szCs w:val="20"/>
          <w:color w:val="auto"/>
        </w:rPr>
      </w:pPr>
      <w:r>
        <w:rPr>
          <w:rFonts w:ascii="Times New Roman" w:cs="Times New Roman" w:eastAsia="Times New Roman" w:hAnsi="Times New Roman"/>
          <w:sz w:val="17"/>
          <w:szCs w:val="17"/>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74" w:lineRule="exact"/>
        <w:rPr>
          <w:sz w:val="20"/>
          <w:szCs w:val="20"/>
          <w:color w:val="auto"/>
        </w:rPr>
      </w:pPr>
    </w:p>
    <w:p>
      <w:pPr>
        <w:ind w:right="60" w:firstLine="595"/>
        <w:spacing w:after="0" w:line="255" w:lineRule="auto"/>
        <w:rPr>
          <w:sz w:val="20"/>
          <w:szCs w:val="20"/>
          <w:color w:val="auto"/>
        </w:rPr>
      </w:pPr>
      <w:r>
        <w:rPr>
          <w:rFonts w:ascii="Times New Roman" w:cs="Times New Roman" w:eastAsia="Times New Roman" w:hAnsi="Times New Roman"/>
          <w:sz w:val="17"/>
          <w:szCs w:val="17"/>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ectPr>
          <w:pgSz w:w="11900" w:h="16838" w:orient="portrait"/>
          <w:cols w:equalWidth="0" w:num="1">
            <w:col w:w="11240"/>
          </w:cols>
          <w:pgMar w:left="320" w:top="115" w:right="33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100" w:firstLine="595"/>
        <w:spacing w:after="0" w:line="247" w:lineRule="auto"/>
        <w:rPr>
          <w:sz w:val="20"/>
          <w:szCs w:val="20"/>
          <w:color w:val="auto"/>
        </w:rPr>
      </w:pPr>
      <w:r>
        <w:rPr>
          <w:rFonts w:ascii="Times New Roman" w:cs="Times New Roman" w:eastAsia="Times New Roman" w:hAnsi="Times New Roman"/>
          <w:sz w:val="17"/>
          <w:szCs w:val="17"/>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79" w:lineRule="exact"/>
        <w:rPr>
          <w:sz w:val="20"/>
          <w:szCs w:val="20"/>
          <w:color w:val="auto"/>
        </w:rPr>
      </w:pPr>
    </w:p>
    <w:p>
      <w:pPr>
        <w:ind w:firstLine="595"/>
        <w:spacing w:after="0" w:line="246" w:lineRule="auto"/>
        <w:rPr>
          <w:sz w:val="20"/>
          <w:szCs w:val="20"/>
          <w:color w:val="auto"/>
        </w:rPr>
      </w:pPr>
      <w:r>
        <w:rPr>
          <w:rFonts w:ascii="Times New Roman" w:cs="Times New Roman" w:eastAsia="Times New Roman" w:hAnsi="Times New Roman"/>
          <w:sz w:val="17"/>
          <w:szCs w:val="17"/>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81" w:lineRule="exact"/>
        <w:rPr>
          <w:sz w:val="20"/>
          <w:szCs w:val="20"/>
          <w:color w:val="auto"/>
        </w:rPr>
      </w:pPr>
    </w:p>
    <w:p>
      <w:pPr>
        <w:ind w:right="440" w:firstLine="595"/>
        <w:spacing w:after="0" w:line="267" w:lineRule="auto"/>
        <w:rPr>
          <w:sz w:val="20"/>
          <w:szCs w:val="20"/>
          <w:color w:val="auto"/>
        </w:rPr>
      </w:pPr>
      <w:r>
        <w:rPr>
          <w:rFonts w:ascii="Times New Roman" w:cs="Times New Roman" w:eastAsia="Times New Roman" w:hAnsi="Times New Roman"/>
          <w:sz w:val="17"/>
          <w:szCs w:val="17"/>
          <w:color w:val="auto"/>
        </w:rPr>
        <w:t>See “Risk Factors — Risks Related to the Regulation of Our Products — We will need regulatory approvals to commercialize our products” for additional discussion of regulatory risks related to our drug development program.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FDA Priority Review</w:t>
      </w:r>
    </w:p>
    <w:p>
      <w:pPr>
        <w:spacing w:after="0" w:line="205" w:lineRule="exact"/>
        <w:rPr>
          <w:sz w:val="20"/>
          <w:szCs w:val="20"/>
          <w:color w:val="auto"/>
        </w:rPr>
      </w:pPr>
    </w:p>
    <w:p>
      <w:pPr>
        <w:ind w:right="120" w:firstLine="595"/>
        <w:spacing w:after="0" w:line="251" w:lineRule="auto"/>
        <w:rPr>
          <w:sz w:val="20"/>
          <w:szCs w:val="20"/>
          <w:color w:val="auto"/>
        </w:rPr>
      </w:pPr>
      <w:r>
        <w:rPr>
          <w:rFonts w:ascii="Times New Roman" w:cs="Times New Roman" w:eastAsia="Times New Roman" w:hAnsi="Times New Roman"/>
          <w:sz w:val="17"/>
          <w:szCs w:val="17"/>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Post-Approval Requirements</w:t>
      </w:r>
    </w:p>
    <w:p>
      <w:pPr>
        <w:spacing w:after="0" w:line="205"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Outside the United States</w:t>
      </w:r>
    </w:p>
    <w:p>
      <w:pPr>
        <w:spacing w:after="0" w:line="205" w:lineRule="exact"/>
        <w:rPr>
          <w:sz w:val="20"/>
          <w:szCs w:val="20"/>
          <w:color w:val="auto"/>
        </w:rPr>
      </w:pPr>
    </w:p>
    <w:p>
      <w:pPr>
        <w:ind w:firstLine="595"/>
        <w:spacing w:after="0" w:line="248" w:lineRule="auto"/>
        <w:rPr>
          <w:sz w:val="20"/>
          <w:szCs w:val="20"/>
          <w:color w:val="auto"/>
        </w:rPr>
      </w:pPr>
      <w:r>
        <w:rPr>
          <w:rFonts w:ascii="Times New Roman" w:cs="Times New Roman" w:eastAsia="Times New Roman" w:hAnsi="Times New Roman"/>
          <w:sz w:val="17"/>
          <w:szCs w:val="17"/>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Regulation</w:t>
      </w:r>
    </w:p>
    <w:p>
      <w:pPr>
        <w:spacing w:after="0" w:line="205" w:lineRule="exact"/>
        <w:rPr>
          <w:sz w:val="20"/>
          <w:szCs w:val="20"/>
          <w:color w:val="auto"/>
        </w:rPr>
      </w:pPr>
    </w:p>
    <w:p>
      <w:pPr>
        <w:ind w:firstLine="595"/>
        <w:spacing w:after="0" w:line="249" w:lineRule="auto"/>
        <w:rPr>
          <w:sz w:val="20"/>
          <w:szCs w:val="20"/>
          <w:color w:val="auto"/>
        </w:rPr>
      </w:pPr>
      <w:r>
        <w:rPr>
          <w:rFonts w:ascii="Times New Roman" w:cs="Times New Roman" w:eastAsia="Times New Roman" w:hAnsi="Times New Roman"/>
          <w:sz w:val="17"/>
          <w:szCs w:val="17"/>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05" w:lineRule="exact"/>
        <w:rPr>
          <w:sz w:val="20"/>
          <w:szCs w:val="20"/>
          <w:color w:val="auto"/>
        </w:rPr>
      </w:pPr>
    </w:p>
    <w:p>
      <w:pPr>
        <w:ind w:right="520" w:firstLine="595"/>
        <w:spacing w:after="0" w:line="255" w:lineRule="auto"/>
        <w:rPr>
          <w:sz w:val="20"/>
          <w:szCs w:val="20"/>
          <w:color w:val="auto"/>
        </w:rPr>
      </w:pPr>
      <w:r>
        <w:rPr>
          <w:rFonts w:ascii="Times New Roman" w:cs="Times New Roman" w:eastAsia="Times New Roman" w:hAnsi="Times New Roman"/>
          <w:sz w:val="17"/>
          <w:szCs w:val="17"/>
          <w:color w:val="auto"/>
        </w:rPr>
        <w:t>As of February 28, 2025, we had fifteen full-time employees, twelve of whom are involved primarily in management of our pre-clinical research and development and clinical trials and three who were involved primarily in management and administration of our Company. We also utilize several contractors and consultants who provide product development, manufacture, analytical testing, clinical trial expertise, and clinical trial support.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05" w:lineRule="exact"/>
        <w:rPr>
          <w:sz w:val="20"/>
          <w:szCs w:val="20"/>
          <w:color w:val="auto"/>
        </w:rPr>
      </w:pPr>
    </w:p>
    <w:p>
      <w:pPr>
        <w:ind w:right="40" w:firstLine="595"/>
        <w:spacing w:after="0" w:line="291" w:lineRule="auto"/>
        <w:rPr>
          <w:sz w:val="20"/>
          <w:szCs w:val="20"/>
          <w:color w:val="auto"/>
        </w:rPr>
      </w:pPr>
      <w:r>
        <w:rPr>
          <w:rFonts w:ascii="Times New Roman" w:cs="Times New Roman" w:eastAsia="Times New Roman" w:hAnsi="Times New Roman"/>
          <w:sz w:val="15"/>
          <w:szCs w:val="15"/>
          <w:color w:val="auto"/>
        </w:rPr>
        <w:t>The Company is required to file annual, quarterly and current reports, proxy statements and other information with the Securities and Exchange Commission (“SEC”), including Annual Reports on Form 10-K, Quarterly Reports on Form 10-Q, Current Reports on Form 8-K and amendments to reports filed pursuant to Sections 13(a) and 15(d) of the Securities Exchange Act of 1934. The SEC maintains an Internet site that contains reports, proxy and information statements, and other information regarding issuers that file electronically with the SEC at http://www.sec.gov. The Company’s website is www.galectintherapeutics.com. The information contained on, or hyperlinked from, our website or any other websites is not a part of, nor is it incorporated by reference into, this Annual Report on Form 10-K.</w:t>
      </w:r>
    </w:p>
    <w:p>
      <w:pPr>
        <w:spacing w:after="0" w:line="14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5"/>
          <w:szCs w:val="15"/>
          <w:b w:val="1"/>
          <w:bCs w:val="1"/>
          <w:i w:val="1"/>
          <w:iCs w:val="1"/>
          <w:color w:val="auto"/>
        </w:rPr>
        <w:t>Risk Factors</w:t>
      </w:r>
    </w:p>
    <w:p>
      <w:pPr>
        <w:spacing w:after="0" w:line="20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7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net losses to date and must raise additional capital in order to continue to operate.</w:t>
      </w:r>
    </w:p>
    <w:p>
      <w:pPr>
        <w:spacing w:after="0" w:line="20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We have incurred net losses in each year of operation since our inception in July 2000 and have no revenues. Our accumulated deficit as of December 31, 2023 was $354 million. We had $15.1 million of unrestricted cash as of December 31, 2024 and $6 million of available borrowings under a line of credit provided by our chairman. Additionally, in March 2025, we signed a new supplemental line of credit agreement with our chairman for an additional $5 million of available borrowings. The Company believes there is sufficient cash, including the $11 million under the two lines of credit, to fund currently planned operations through August 2025. We will require more cash to fund our operations after August 2025. There can be no assurance that we will be successful in obtaining such new financing or, if available, that such financing will be on terms favorable to us.</w:t>
      </w:r>
    </w:p>
    <w:p>
      <w:pPr>
        <w:spacing w:after="0" w:line="17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We may raise capital through public or private equity financings, partnerships, debt financings, bank borrowings, or other sources. Additional funding may not be available on favorable terms or at all. Though his investments in the Company, Mr. Uihlein has been a critical source of funding via equity and debt financings. There is no assurance as to the level of future investments to be made in the Company by Mr. Uihlein.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NAVIGATE trial was our only active clinical trial, and we currently do not have plans or funding to undertake another clinical trial.</w:t>
      </w:r>
    </w:p>
    <w:p>
      <w:pPr>
        <w:spacing w:after="0" w:line="20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5"/>
          <w:szCs w:val="15"/>
          <w:color w:val="auto"/>
        </w:rPr>
        <w:t>In December 2024, we presented top-line results of the NAVIGATE clinical trial. The composite endpoint did not reach statistical significance. Because the data from NAVIGATE clinical trial did not reach statistical significance, we may determine not to conduct an additional clinical trial to test the efficacy of our drug candidate, belapectin. Furthermore, it will be difficult for us to raise the capital necessary for another clinical trial. The Company continues to analyze data from the 57 patients that completed 36 months of treatment prior to the ending of the trial in February 2025. While data from this group patient would not change the results of results of the NAVIGATE clinical trial, the Company believes that encouraging results from this group of patients may draw interest from potential strategic partners.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substantial doubt about our ability to continue as a going concern.</w:t>
      </w:r>
    </w:p>
    <w:p>
      <w:pPr>
        <w:spacing w:after="0" w:line="2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In 2024, we experienced net losses of $47.2 million, had no revenue from operations, and used $41.8 million in cash to fund our operations. Due to the current level of liquidity at December 31, 2024 and the projected shortfall to cover operating expenses requiring cash for a period of 12 months from the report date of the annual report, management has expressed substantial doubt as to our ability to continue as a going concern.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development stage company and have not yet generated any revenue.</w:t>
      </w:r>
    </w:p>
    <w:p>
      <w:pPr>
        <w:spacing w:after="0" w:line="205"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7"/>
          <w:szCs w:val="17"/>
          <w:color w:val="auto"/>
        </w:rPr>
        <w:t>We are a development stage company and have not generated any revenues to date. There is no assurance that we will obtain FDA approval of belapectin or other products that we may develop, and, even if we do so, that we will generate revenue sufficient to become profitable. Our failure to generate revenue and profit would likely lead to loss of your investment.</w:t>
      </w:r>
    </w:p>
    <w:p>
      <w:pPr>
        <w:spacing w:after="0" w:line="17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7"/>
          <w:szCs w:val="17"/>
          <w:color w:val="auto"/>
        </w:rPr>
        <w:t>Our ability to generate revenue from product sales and achieve profitability will depend upon our ability to successfully commercialize products, including our lead product candidate,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174" w:lineRule="exact"/>
        <w:rPr>
          <w:sz w:val="20"/>
          <w:szCs w:val="20"/>
          <w:color w:val="auto"/>
        </w:rPr>
      </w:pPr>
    </w:p>
    <w:p>
      <w:pPr>
        <w:ind w:left="780" w:hanging="446"/>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complete development activities, including the necessary clinical trials;</w:t>
      </w:r>
    </w:p>
    <w:p>
      <w:pPr>
        <w:spacing w:after="0" w:line="201"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and submit new drug applications, or NDAs, to the U.S. Food and Drug Administration, or FDA, and obtain regulatory approval for indications for which there is a commercial market;</w:t>
      </w:r>
    </w:p>
    <w:p>
      <w:pPr>
        <w:spacing w:after="0" w:line="160"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and submit applications to, and obtain regulatory approval from, foreign regulatory authorities;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complete all required regulatory agency inspections;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a commercially viable price for our products;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commercial quantities of our products at acceptable cost levels;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find suitable distribution partners to help us market, sell and distribute our approved products in other markets; and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coverage and adequate reimbursement from third parties, including government and private payers.</w:t>
      </w:r>
    </w:p>
    <w:p>
      <w:pPr>
        <w:sectPr>
          <w:pgSz w:w="11900" w:h="16838" w:orient="portrait"/>
          <w:cols w:equalWidth="0" w:num="1">
            <w:col w:w="11240"/>
          </w:cols>
          <w:pgMar w:left="320" w:top="115" w:right="339" w:bottom="66"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66"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6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success of our lead product candidate, belapectin, and we cannot be certain that our product candidates will receive regulatory approval or be successfully commercialized.</w:t>
      </w:r>
    </w:p>
    <w:p>
      <w:pPr>
        <w:spacing w:after="0" w:line="15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7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Before obtaining regulatory approval for the sale of any drug candidate, we must conduct extensive pre-clinical studies and clinical trials to demonstrate the safety and efficacy of our product candidates in humans.</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To obtain FDA approval, we will need to conduct one or more Phase 3 clinical trial for belapectin; however, we cannot assure you that we will be able to finance Phase 3 trials. Additionally, we cannot assure you that our future trials will yield successful results, that they will lead to the generation of revenue, or that we will obtain regulatory approval in other countries.</w:t>
      </w:r>
    </w:p>
    <w:p>
      <w:pPr>
        <w:spacing w:after="0" w:line="17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although there was positive data from our NASH-CX Phase 2 trial for belapectin, it did not meet its primary endpoint. Similarly, our Phase 2a pilot trial NASH-FX for patients with advanced fibrosis, which explored three non-invasive imaging technologies, did not meet its primary endpoint. Top-line results from the NAVIGATE trial were presented in the December 2024. Again, while there was positive data, especially in the 2 mg cohort, the composite endpoint did not reach statistical significance.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we may be unable to commercialize our product candidates.</w:t>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Even if belapectin 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risks associated with our reliance on third parties to design trial protocols, arrange for and monitor the clinical trials, and collect and analyze data.</w:t>
      </w:r>
    </w:p>
    <w:p>
      <w:pPr>
        <w:spacing w:after="0" w:line="20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As we develop products eligible for clinical trials, we will contract with independent parties to assist us in the design of the trial protocols, arrange for and monitor the clinical trials, provide lab kits, collect data and analyze data and samples. In addition, certain clinical trials for our products may be conducted by government-sponsored agencies and will be dependent on governmental participation and funding. We have contracted with a third party, Covance (now known as Fortrea), for assistance with the design and conduct of our NAVIGATE trial.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dependence on independent parties and clinical sites involves risks including reduced control over the timing and other aspects of our clinical trials.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risks associated with our reliance on third parties for manufacturing belapectin.</w:t>
      </w:r>
    </w:p>
    <w:p>
      <w:pPr>
        <w:spacing w:after="0" w:line="20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We do not have, and do not now intend to develop, facilities for the manufacture of any of our products, including belapectin,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7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are exposed to pre-clinical and clinical liability risks which could place a financial burden upon us, should we be sued, because we do not currently have product liability insurance beyond our general insurance coverage.</w:t>
      </w:r>
    </w:p>
    <w:p>
      <w:pPr>
        <w:spacing w:after="0" w:line="15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5"/>
          <w:szCs w:val="15"/>
          <w:color w:val="auto"/>
        </w:rPr>
        <w:t>Our business exposes us to potential pre-clinical, clinical liability and other liability risks that are inherent in the testing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 Because we do not currently have any FDA-approved products or formulations, we do not currently have any product liability insurance covering commercialized products.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insurance coverage that may be obtained by us could have a material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intense competition in the biotechnology and pharmaceutical industries.</w:t>
      </w:r>
    </w:p>
    <w:p>
      <w:pPr>
        <w:spacing w:after="0" w:line="205"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7"/>
          <w:szCs w:val="17"/>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73"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market for our proposed products is rapidly changing and competitive, and new drugs and new treatments that may be developed by others could impair our ability to maintain and grow our business and remain competitive.</w:t>
      </w:r>
    </w:p>
    <w:p>
      <w:pPr>
        <w:spacing w:after="0" w:line="15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 Our resources are limited and we may experience technical challenges inherent in such technologies. Our competitors may develop drugs that are safer, more effective and less costly than our proposed products and, therefore, present a serious competitive threat to us.</w:t>
      </w:r>
    </w:p>
    <w:p>
      <w:pPr>
        <w:spacing w:after="0" w:line="17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7"/>
          <w:szCs w:val="17"/>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lack of operating experience may cause us difficulty in managing our growth.</w:t>
      </w:r>
    </w:p>
    <w:p>
      <w:pPr>
        <w:spacing w:after="0" w:line="20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We have limited experience in manufacturing or procuring products in commercial quantities, conducting other later-stage phases of the regulatory approval process, selling pharmaceutical products, and negotiating, establishing and maintaining strategic relationships. Although we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key individuals to develop our products and core technologies and pursue collaborative relationships.</w:t>
      </w:r>
    </w:p>
    <w:p>
      <w:pPr>
        <w:spacing w:after="0" w:line="205"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7"/>
          <w:szCs w:val="17"/>
          <w:color w:val="auto"/>
        </w:rPr>
        <w:t>We are highly dependent on our current base of a few employees and external consultants. These individuals, among other things, design and lead our pre-clinical and clinical studies, as well as our U.S. and European regulatory processes. With little or no redundancy in our personnel, the loss of any personnel or failure to attract or retain other key personnel and consultants could result in a loss of experience and accumulated knowledge and prevent us from developing our products and core technologies and pursuing collaborative relationships.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comply with our reporting and other requirements under federal securities laws.</w:t>
      </w:r>
    </w:p>
    <w:p>
      <w:pPr>
        <w:spacing w:after="0" w:line="205"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5"/>
          <w:szCs w:val="15"/>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14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long-term success is dependent not only upon the success of our trials but also upon us being able to capitalize upon potential positive results of our trials, which is not assured.</w:t>
      </w:r>
    </w:p>
    <w:p>
      <w:pPr>
        <w:spacing w:after="0" w:line="15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To conduct Phase 3 clinical trials or other clinical trials we will need sufficient cash resources to conduct those undertakings. We will also need to obtain sufficient dosages of belapectin for such trials. Manufacturing of belapectin is performed by third parties on a contract basis and production is ongoing to generate what we believe are sufficient quantities of belapectin for our NAVIGATE or other clinical trials. Manufacturing could become delayed due to circumstances beyond our control which could delay any clinical trials. Further because of limited resources, we have curtailed most of our expenditures in research focused on the development of an oral galectin inhibitor to replace our current drug candidate that is delivered via infusion.</w:t>
      </w:r>
    </w:p>
    <w:p>
      <w:pPr>
        <w:spacing w:after="0" w:line="17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have previously been a defendant in a shareholder derivative action, and any possible future such lawsuits may adversely affect our business, financial condition, results of operations and cash flows.</w:t>
      </w:r>
    </w:p>
    <w:p>
      <w:pPr>
        <w:spacing w:after="0" w:line="1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and certain of our officers and directors have previously been defendants in a state court shareholder derivative action that concluded in our favor. In addition, there is the potential for other future shareholder litigation and for governmental investigations and/or enforcement actions. Similar lawsuits in the future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If similar lawsuits do arise in the future,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any debt obligations and, consequently, could negatively impact the trading price of our common stock. Any existing or future shareholder lawsuits and any future governmental investigations and/or enforcement actions could adversely impact our reputation, our relationships with our customers and our ability to generate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Regulation of our Products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regulatory approvals to commercialize our products.</w:t>
      </w:r>
    </w:p>
    <w:p>
      <w:pPr>
        <w:spacing w:after="0" w:line="20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FDA may change, at any time, its requirements for approval of new drugs based on information and data received from others and ourselves potentially resulting in product approval delays or non-approvals.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18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5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and timing of clinical trials may vary significantly over the life of a project owing to the following non-exclusive reasons:</w:t>
      </w:r>
    </w:p>
    <w:p>
      <w:pPr>
        <w:spacing w:after="0" w:line="201" w:lineRule="exact"/>
        <w:rPr>
          <w:sz w:val="20"/>
          <w:szCs w:val="20"/>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duration of the clinical trials;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sites included in the trials;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countries in which the trial is conducted;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time required and ability to enroll eligible patients;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that participate in the trials;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doses that patients receive;</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drop-out or discontinuation rates of patients;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patient trial costs;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party contractors failing to comply with regulatory requirements or meet their contractual obligations to us in a timely manner;</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drug product candidates having different chemical and pharmacological properties in humans than in lab testing;</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suspend or terminate our clinical trials;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or inadequate supply or quality of drug product candidates or other necessary materials to conduct our trials;</w:t>
      </w:r>
    </w:p>
    <w:p>
      <w:pPr>
        <w:spacing w:after="0" w:line="201"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160"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engaging IRBs to oversee trials or in obtaining and maintaining IRB approval of studies;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duration of patient follow-up;</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of the product candidate;</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obtaining regulatory approvals; and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involved in enforcing or defending patent claims or other intellectual property rights.</w:t>
      </w:r>
    </w:p>
    <w:p>
      <w:pPr>
        <w:spacing w:after="0" w:line="20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156"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15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7"/>
          <w:szCs w:val="17"/>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they obtained promising results in earlier trials. Despite the results reported in some of our earlier clinical trials for belapectin,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5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7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7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160" w:lineRule="exact"/>
        <w:rPr>
          <w:sz w:val="20"/>
          <w:szCs w:val="20"/>
          <w:color w:val="auto"/>
        </w:rPr>
      </w:pPr>
    </w:p>
    <w:p>
      <w:pPr>
        <w:ind w:left="780" w:hanging="446"/>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forced to suspend marketing of such product;</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their approvals of such product;</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require additional warnings on the label that could diminish the usage or otherwise limit the commercial success of such products;</w:t>
      </w:r>
    </w:p>
    <w:p>
      <w:pPr>
        <w:spacing w:after="0" w:line="224" w:lineRule="exact"/>
        <w:rPr>
          <w:rFonts w:ascii="Times New Roman" w:cs="Times New Roman" w:eastAsia="Times New Roman" w:hAnsi="Times New Roman"/>
          <w:sz w:val="15"/>
          <w:szCs w:val="15"/>
          <w:color w:val="auto"/>
        </w:rPr>
      </w:pPr>
    </w:p>
    <w:p>
      <w:pPr>
        <w:ind w:left="780" w:hanging="446"/>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conduct post-market studies;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harm caused to subjects or patients; and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product candidate, if approved.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obtain regulatory approval in international jurisdictions would prevent our product candidates from being marketed abroad.</w:t>
      </w:r>
    </w:p>
    <w:p>
      <w:pPr>
        <w:spacing w:after="0" w:line="20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5"/>
          <w:szCs w:val="15"/>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competitive position is contingent upon the protection of our intellectual property.</w:t>
      </w:r>
    </w:p>
    <w:p>
      <w:pPr>
        <w:spacing w:after="0" w:line="20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7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0" w:lineRule="exact"/>
        <w:rPr>
          <w:sz w:val="20"/>
          <w:szCs w:val="20"/>
          <w:color w:val="auto"/>
        </w:rPr>
      </w:pPr>
    </w:p>
    <w:p>
      <w:pPr>
        <w:ind w:left="780" w:hanging="446"/>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compounds that are competitive with our product candidates but are not covered by the claims of our patents;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have been the first to make the inventions covered by our pending patent applications;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have been the first to file patent applications for these inventions;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patent applications will not result in issued patents;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 or</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w:t>
      </w:r>
    </w:p>
    <w:p>
      <w:pPr>
        <w:spacing w:after="0" w:line="20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7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5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7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7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8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67" w:lineRule="exact"/>
        <w:rPr>
          <w:sz w:val="20"/>
          <w:szCs w:val="20"/>
          <w:color w:val="auto"/>
        </w:rPr>
      </w:pPr>
    </w:p>
    <w:p>
      <w:pPr>
        <w:ind w:right="320"/>
        <w:spacing w:after="0" w:line="341" w:lineRule="auto"/>
        <w:rPr>
          <w:sz w:val="20"/>
          <w:szCs w:val="20"/>
          <w:color w:val="auto"/>
        </w:rPr>
      </w:pPr>
      <w:r>
        <w:rPr>
          <w:rFonts w:ascii="Times New Roman" w:cs="Times New Roman" w:eastAsia="Times New Roman" w:hAnsi="Times New Roman"/>
          <w:sz w:val="15"/>
          <w:szCs w:val="15"/>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09" w:lineRule="exact"/>
        <w:rPr>
          <w:sz w:val="20"/>
          <w:szCs w:val="20"/>
          <w:color w:val="auto"/>
        </w:rPr>
      </w:pPr>
    </w:p>
    <w:p>
      <w:pPr>
        <w:jc w:val="both"/>
        <w:ind w:right="120"/>
        <w:spacing w:after="0" w:line="305" w:lineRule="auto"/>
        <w:rPr>
          <w:sz w:val="20"/>
          <w:szCs w:val="20"/>
          <w:color w:val="auto"/>
        </w:rPr>
      </w:pPr>
      <w:r>
        <w:rPr>
          <w:rFonts w:ascii="Times New Roman" w:cs="Times New Roman" w:eastAsia="Times New Roman" w:hAnsi="Times New Roman"/>
          <w:sz w:val="15"/>
          <w:szCs w:val="15"/>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ectPr>
          <w:pgSz w:w="11900" w:h="16838" w:orient="portrait"/>
          <w:cols w:equalWidth="0" w:num="1">
            <w:col w:w="11240"/>
          </w:cols>
          <w:pgMar w:left="320" w:top="116"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secure trademark registration could adversely affect our ability to market our product candidates and our business.</w:t>
      </w:r>
    </w:p>
    <w:p>
      <w:pPr>
        <w:spacing w:after="0" w:line="205"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173"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15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5"/>
          <w:szCs w:val="15"/>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that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have wrongfully used or disclosed alleged trade secrets of their former employers.</w:t>
      </w:r>
    </w:p>
    <w:p>
      <w:pPr>
        <w:spacing w:after="0" w:line="20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Information Technology and Cybersecurity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information technology and our systems and infrastructure face certain risks, including from cybersecurity breaches and data leakage.</w:t>
      </w:r>
    </w:p>
    <w:p>
      <w:pPr>
        <w:spacing w:after="0" w:line="20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rely extensively on information technology systems, networks and services that are managed and hosted provided by third-parties or their vendors, to assist in conducting our business. A significant breakdown, invasion, corruption, destruction or interruption of critical information technology systems or infrastructure, by our personnel or others with authorized access to our systems or unauthorized persons could negatively impact our operations. The ever-increasing use and evolution of technology, including cloud-based computing, creates opportunities for the unintentional dissemination or intentional destruction or modification of confidential information stored in our, or our third-party providers’ systems, portable media or storage devices. We could also experience a business interruption, theft of confidential information or reputational damage from malicious cyber-attacks, which may compromise our system infrastructure or lead to data leakage, either internally or at our third-party providers. We have observed an increase in cybersecurity incidents across the industry, predominantly ransomware and social engineering attacks. As the cyber-threat landscape evolves, these attacks are growing in frequency, sophistication and intensity, and due to the nature of some of these attacks, there is also a risk that they may remain undetected for a period of time. There can be no assurance that we will be able to prevent breakdowns or breaches to our or our third-party providers’ databases or systems that could adversely affect our business.</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01"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price of our common stock could fluctuate significantly in response to various factors and events, including but not limited to:</w:t>
      </w:r>
    </w:p>
    <w:p>
      <w:pPr>
        <w:spacing w:after="0" w:line="201" w:lineRule="exact"/>
        <w:rPr>
          <w:sz w:val="20"/>
          <w:szCs w:val="20"/>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pre-clinical studies and clinical trials, including interim results, as well as those of our competitors;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actions with respect to our products or our competitors’ products;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integrate operations, technology, products and services;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business plan;</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results below expectations;</w:t>
      </w:r>
    </w:p>
    <w:p>
      <w:pPr>
        <w:spacing w:after="0" w:line="201"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issuance of additional securities, including debt or equity or a combination thereof, which may be necessary to fund our operating expenses and the cost of our clinical trials;</w:t>
      </w:r>
    </w:p>
    <w:p>
      <w:pPr>
        <w:spacing w:after="0" w:line="160"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or new products by us or our competitors;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any strategic relationship;</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developments, including, without limitation, changes in healthcare policies or practices or third-party reimbursement policies;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expenses related to any of our product candidates or clinical development programs;</w:t>
      </w:r>
    </w:p>
    <w:p>
      <w:pPr>
        <w:spacing w:after="0" w:line="201"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or other developments related to proprietary rights, including patents, litigation matters, and our ability to obtain patent protection for our technologies;</w:t>
      </w:r>
    </w:p>
    <w:p>
      <w:pPr>
        <w:spacing w:after="0" w:line="160"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other external factors;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period-to-period fluctuations in our financial results;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our insiders or our other stockholders;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 active trading market in our common stock develops and is maintained;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engagement and retention of senior management needed for our clinical trials; and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novel and unforeseen market forces and trading strategies, such as the massive short squeeze rally caused by retail investors on companies such as Gamestop.</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7"/>
          <w:szCs w:val="17"/>
          <w:color w:val="auto"/>
        </w:rPr>
        <w:t>In addition, the market price for securities of pharmaceutical and biotechnology companies historically has been highly volatile, and the securities markets have from time-to-time experienced significant price and volume fluctuations that are unrelated to the operating performance of particular companies. These broad market fluctuations may cause the market price of our common stock to decline substantially.</w:t>
      </w:r>
    </w:p>
    <w:p>
      <w:pPr>
        <w:spacing w:after="0" w:line="17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have recently defended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77"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7"/>
          <w:szCs w:val="17"/>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156"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56"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5"/>
          <w:szCs w:val="15"/>
          <w:color w:val="auto"/>
        </w:rPr>
        <w:t>Our articles of incorporation authorize the issuance of capital stock including 20,000,000 authorized undesignated shares (all have been designated as of December 31, 2022),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in the event that additional undesignated shares are authorized under our charter documents, our board of directors may designate and issue additional shares or series of preferred stock that would rank senior to the shares of common stock as to dividend rights or rights upon our liquidation, winding-up, or dissolution</w:t>
      </w:r>
    </w:p>
    <w:p>
      <w:pPr>
        <w:spacing w:after="0" w:line="14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15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if and when we have 200 or more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issue additional common stock, which might dilute the net tangible book value per share of our common stock.</w:t>
      </w:r>
    </w:p>
    <w:p>
      <w:pPr>
        <w:spacing w:after="0" w:line="20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may engage in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the holders of warrants, whether currently outstanding or subsequently granted, exercise their warrants to purchase shares of our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sale of a substantial number of shares of the common stock may cause the price of our common stock to decline.</w:t>
      </w:r>
    </w:p>
    <w:p>
      <w:pPr>
        <w:spacing w:after="0" w:line="20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by us of up to $100 million, which includes the offer and sell shares of our common stock having an aggregate offering price of up to $35,967,000 from time to time pursuant to our At The Market Issuance Sales Agreement with H.C. Wainwright &amp; Co., LLC. We may consider additional or other capital raising transactions within the next twelve months, which would likely result in issuances of additional shares that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7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not paid cash dividends on our common stock in the past and do not expect to pay cash dividends in the foreseeable future.</w:t>
      </w:r>
    </w:p>
    <w:p>
      <w:pPr>
        <w:spacing w:after="0" w:line="205"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7"/>
          <w:szCs w:val="17"/>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ectPr>
          <w:pgSz w:w="11900" w:h="16838" w:orient="portrait"/>
          <w:cols w:equalWidth="0" w:num="1">
            <w:col w:w="11240"/>
          </w:cols>
          <w:pgMar w:left="320" w:top="115" w:right="339"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shares of common stock have been thinly traded, so you may be unable to sell at or near ask prices or even at all if you need to sell your shares to raise money or otherwise desire to liquidate your shares.</w:t>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5"/>
          <w:szCs w:val="15"/>
          <w:color w:val="auto"/>
        </w:rPr>
        <w:t>We cannot predict the extent to which an active public market for our common stock will develop or be sustained. Our common stock is currently traded on The NASDAQ Capital Market and experiences periods when it is considered “thinly-traded.” This situation may be attributable to several factors, including the fact that we are a small company that is relatively unknown to stock analysts, stockbrokers, institutional investors and others in the investment community that generate or influence sales volume. Furthermore, even if our stock came to the attention of such persons, they may be reluctant to follow us or purchase or recommend the purchase of our shares. Therefore, there may be periods of several days, weeks or months when trading activity in our shares is minimal, as compared to a seasoned issuer that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45"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Concentration of ownership by our principal stockholders may limit your ability to influence the outcome of director elections and other transactions requiring stockholder approval.</w:t>
      </w:r>
    </w:p>
    <w:p>
      <w:pPr>
        <w:spacing w:after="0" w:line="15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A significant percentage of our outstanding stock is held by a limited number of investors, including Richard E. Uihlein. Mr. Uihlein, the chairman of our board of directors, who beneficially owns approximately 16.4% of our outstanding common stock as of February 28, 2025 (which does not include any shares issuable upon exercise of options and warrants nor shares issuable upon conversion of convertible notes and lines of credit) and the 10X Fund, LP , which now owns 9.4% of the issued and outstanding shares of common stock of the Company as of February 28, 2025 (which does not include any shares issuable upon exercise of options and warrants). Mr. Uihlein is also an investor in the 10X Fund as a limited partner but is not deemed to be a beneficial owner of, or have a reportable interest in, any shares owned by 10X Fund. As a result of their ownership of shares of common stock, Mr. Uihlein and 10X Fund have and will have significant influence over corporate actions requiring stockholder approval, including the following actions:</w:t>
      </w:r>
    </w:p>
    <w:p>
      <w:pPr>
        <w:spacing w:after="0" w:line="179" w:lineRule="exact"/>
        <w:rPr>
          <w:sz w:val="20"/>
          <w:szCs w:val="20"/>
          <w:color w:val="auto"/>
        </w:rPr>
      </w:pPr>
    </w:p>
    <w:p>
      <w:pPr>
        <w:ind w:left="780" w:hanging="446"/>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or defeat the election of our directors;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or prevent amendment of our certificate of incorporation or bylaws;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effect or prevent a merger, sale of assets or other corporate transaction; and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control the outcome of any other matter submitted to our stockholders for vote.</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56"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Richard E. Uihlein’s and 10X Fund’s significant ownership positions may deter or prevent efforts by other companies to acquire us, which could prevent our stockholders from realizing a control premium.</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a result of Mr. Uihlein’s and 10X Fund’s significant ownership and Mr. Uihlein’s position as chairman of the board of directors, other companies may be less inclined to pursue an acquisition of us or we may not have the opportunity to be acquired in a transaction that stockholders might otherwise deem favorable, including transactions in which our stockholders might realize a substantial premium for their shares.</w:t>
      </w:r>
    </w:p>
    <w:p>
      <w:pPr>
        <w:spacing w:after="0" w:line="16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Richard E. Uilhlein and/or 10X Fund could sell or transfer a substantial number of shares of our common stock, which could depress the price of our securities or result in a change in control of our company.</w:t>
      </w:r>
    </w:p>
    <w:p>
      <w:pPr>
        <w:spacing w:after="0" w:line="15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Although Mr. Uihlein has held common stock of the Company since 2012 and has not sold any of the shares of common stock that he has acquired during this time period, and although 10X Fund has been a long-time investor in the Company, neither Mr. Uihlein nor 10X Fund are subject to any contractual restrictions with us on their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Mr. Uihlein or 10X Fund of a substantial number of shares, or the expectation of such sales, could cause a significant reduction in the market price of our common stock.</w:t>
      </w:r>
    </w:p>
    <w:p>
      <w:pPr>
        <w:spacing w:after="0" w:line="17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b w:val="1"/>
          <w:bCs w:val="1"/>
          <w:color w:val="auto"/>
        </w:rPr>
        <w:t>A pandemic similar to the COVID-19 pandemic, or the reemergence of the COVID-19 pandemic could adversely impact our business, including our preclinical studies and clinical trials.</w:t>
      </w:r>
    </w:p>
    <w:p>
      <w:pPr>
        <w:spacing w:after="0" w:line="15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The occurrence of a pandemic similar to the COVID-19 pandemic, or the reemergence of the COVID-19 pandemic could cause disruptions that could severely impact our business and our clinical trials including:</w:t>
      </w:r>
    </w:p>
    <w:p>
      <w:pPr>
        <w:spacing w:after="0" w:line="160" w:lineRule="exact"/>
        <w:rPr>
          <w:sz w:val="20"/>
          <w:szCs w:val="20"/>
          <w:color w:val="auto"/>
        </w:rPr>
      </w:pPr>
    </w:p>
    <w:p>
      <w:pPr>
        <w:ind w:left="780" w:hanging="446"/>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enrolling patients in our clinical trials;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or disruptions in non-clinical experiments due to unforeseen circumstances at contract research organizations and vendors along their supply chain;</w:t>
      </w:r>
    </w:p>
    <w:p>
      <w:pPr>
        <w:spacing w:after="0" w:line="224" w:lineRule="exact"/>
        <w:rPr>
          <w:rFonts w:ascii="Times New Roman" w:cs="Times New Roman" w:eastAsia="Times New Roman" w:hAnsi="Times New Roman"/>
          <w:sz w:val="15"/>
          <w:szCs w:val="15"/>
          <w:color w:val="auto"/>
        </w:rPr>
      </w:pPr>
    </w:p>
    <w:p>
      <w:pPr>
        <w:ind w:left="780" w:hanging="446"/>
        <w:spacing w:after="0" w:line="267" w:lineRule="auto"/>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rates of patients withdrawing from our clinical trials following enrollment as a result of contracting a contagious illness, being forced to quarantine, or not accepting in office or home health visits;</w:t>
      </w:r>
    </w:p>
    <w:p>
      <w:pPr>
        <w:spacing w:after="0" w:line="160"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healthcare resources away from the conduct of clinical trials, including the diversion of hospitals serving as sites for our NAVIGATE trial and hospital staff supporting the conduct of such trials;</w:t>
      </w:r>
    </w:p>
    <w:p>
      <w:pPr>
        <w:sectPr>
          <w:pgSz w:w="11900" w:h="16838" w:orient="portrait"/>
          <w:cols w:equalWidth="0" w:num="1">
            <w:col w:w="11240"/>
          </w:cols>
          <w:pgMar w:left="320" w:top="115"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jc w:val="both"/>
        <w:ind w:left="780" w:hanging="446"/>
        <w:spacing w:after="0" w:line="255" w:lineRule="auto"/>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170"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or delays in the operations of the FDA and comparable foreign regulatory agencies, which may impact review and approval timelines;</w:t>
      </w:r>
    </w:p>
    <w:p>
      <w:pPr>
        <w:spacing w:after="0" w:line="201"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60" w:lineRule="exact"/>
        <w:rPr>
          <w:rFonts w:ascii="Times New Roman" w:cs="Times New Roman" w:eastAsia="Times New Roman" w:hAnsi="Times New Roman"/>
          <w:sz w:val="17"/>
          <w:szCs w:val="17"/>
          <w:color w:val="auto"/>
        </w:rPr>
      </w:pPr>
    </w:p>
    <w:p>
      <w:pPr>
        <w:jc w:val="both"/>
        <w:ind w:left="780" w:hanging="446"/>
        <w:spacing w:after="0" w:line="255" w:lineRule="auto"/>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the trading prices for our common stock and other biopharmaceutical companies could experience extreme volatility during a pandemic. The extent to which a pandemic may impact our business, preclinical studies and clinical trials will depend factors that we cannot predict or control,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5"/>
          <w:szCs w:val="15"/>
          <w:b w:val="1"/>
          <w:bCs w:val="1"/>
          <w:i w:val="1"/>
          <w:iCs w:val="1"/>
          <w:color w:val="auto"/>
        </w:rPr>
        <w:t>Unresolved Staff Comments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1C.</w:t>
      </w:r>
      <w:r>
        <w:rPr>
          <w:sz w:val="20"/>
          <w:szCs w:val="20"/>
          <w:color w:val="auto"/>
        </w:rPr>
        <w:tab/>
      </w:r>
      <w:r>
        <w:rPr>
          <w:rFonts w:ascii="Times New Roman" w:cs="Times New Roman" w:eastAsia="Times New Roman" w:hAnsi="Times New Roman"/>
          <w:sz w:val="15"/>
          <w:szCs w:val="15"/>
          <w:b w:val="1"/>
          <w:bCs w:val="1"/>
          <w:color w:val="auto"/>
        </w:rPr>
        <w:t>Cybersecurity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 and strategy</w:t>
      </w:r>
    </w:p>
    <w:p>
      <w:pPr>
        <w:spacing w:after="0" w:line="203" w:lineRule="exact"/>
        <w:rPr>
          <w:sz w:val="20"/>
          <w:szCs w:val="20"/>
          <w:color w:val="auto"/>
        </w:rPr>
      </w:pPr>
    </w:p>
    <w:p>
      <w:pPr>
        <w:ind w:right="60" w:firstLine="402"/>
        <w:spacing w:after="0" w:line="267" w:lineRule="auto"/>
        <w:rPr>
          <w:sz w:val="20"/>
          <w:szCs w:val="20"/>
          <w:color w:val="auto"/>
        </w:rPr>
      </w:pPr>
      <w:r>
        <w:rPr>
          <w:rFonts w:ascii="Times New Roman" w:cs="Times New Roman" w:eastAsia="Times New Roman" w:hAnsi="Times New Roman"/>
          <w:sz w:val="17"/>
          <w:szCs w:val="17"/>
          <w:color w:val="auto"/>
        </w:rPr>
        <w:t>We have policies and processes designed to protect our information technology systems, which are managed by outside consultants. Our cybersecurity consultants resolve issues in a timely manner in the event of a cybersecurity threat or incident.</w:t>
      </w:r>
    </w:p>
    <w:p>
      <w:pPr>
        <w:spacing w:after="0" w:line="160" w:lineRule="exact"/>
        <w:rPr>
          <w:sz w:val="20"/>
          <w:szCs w:val="20"/>
          <w:color w:val="auto"/>
        </w:rPr>
      </w:pPr>
    </w:p>
    <w:p>
      <w:pPr>
        <w:ind w:right="40" w:firstLine="402"/>
        <w:spacing w:after="0" w:line="249" w:lineRule="auto"/>
        <w:rPr>
          <w:sz w:val="20"/>
          <w:szCs w:val="20"/>
          <w:color w:val="auto"/>
        </w:rPr>
      </w:pPr>
      <w:r>
        <w:rPr>
          <w:rFonts w:ascii="Times New Roman" w:cs="Times New Roman" w:eastAsia="Times New Roman" w:hAnsi="Times New Roman"/>
          <w:sz w:val="17"/>
          <w:szCs w:val="17"/>
          <w:color w:val="auto"/>
        </w:rPr>
        <w:t>As part of our broader risk management framework, from time to time, we seek to identify potential cybersecurity risks to our business and improve our policies and processes to address such risks. We have designed our business applications to minimize the impact that cybersecurity incidents could have on our business and have identified back-up systems where appropriate. We seek to further mitigate cybersecurity risks through a combination of monitoring and detection activities, use of anti-malware applications, employee training, quality reviews and communication and reporting structures, among other processes. We have an incident response plan in place that outlines containment, eradication and recovery plans in the event of a cybersecurity threat or incident.</w:t>
      </w:r>
    </w:p>
    <w:p>
      <w:pPr>
        <w:spacing w:after="0" w:line="177" w:lineRule="exact"/>
        <w:rPr>
          <w:sz w:val="20"/>
          <w:szCs w:val="20"/>
          <w:color w:val="auto"/>
        </w:rPr>
      </w:pPr>
    </w:p>
    <w:p>
      <w:pPr>
        <w:jc w:val="both"/>
        <w:ind w:right="40" w:firstLine="402"/>
        <w:spacing w:after="0" w:line="255" w:lineRule="auto"/>
        <w:rPr>
          <w:sz w:val="20"/>
          <w:szCs w:val="20"/>
          <w:color w:val="auto"/>
        </w:rPr>
      </w:pPr>
      <w:r>
        <w:rPr>
          <w:rFonts w:ascii="Times New Roman" w:cs="Times New Roman" w:eastAsia="Times New Roman" w:hAnsi="Times New Roman"/>
          <w:sz w:val="17"/>
          <w:szCs w:val="17"/>
          <w:color w:val="auto"/>
        </w:rPr>
        <w:t>We engage a third-party consultant to assist us with designing controls and our cybersecurity risk management framework. We are also engaging with a third party to perform penetration testing. We also retain third parties to assist with the monitoring and detection of cybersecurity threats and responding to any cybersecurity threats or incidents.</w:t>
      </w:r>
    </w:p>
    <w:p>
      <w:pPr>
        <w:spacing w:after="0" w:line="171" w:lineRule="exact"/>
        <w:rPr>
          <w:sz w:val="20"/>
          <w:szCs w:val="20"/>
          <w:color w:val="auto"/>
        </w:rPr>
      </w:pPr>
    </w:p>
    <w:p>
      <w:pPr>
        <w:ind w:right="360" w:firstLine="402"/>
        <w:spacing w:after="0" w:line="267" w:lineRule="auto"/>
        <w:rPr>
          <w:sz w:val="20"/>
          <w:szCs w:val="20"/>
          <w:color w:val="auto"/>
        </w:rPr>
      </w:pPr>
      <w:r>
        <w:rPr>
          <w:rFonts w:ascii="Times New Roman" w:cs="Times New Roman" w:eastAsia="Times New Roman" w:hAnsi="Times New Roman"/>
          <w:sz w:val="17"/>
          <w:szCs w:val="17"/>
          <w:color w:val="auto"/>
        </w:rPr>
        <w:t>With respect to third parties that manage or use our information technology or data, we obtain reports to assess the security of their systems and processes. We engage in ongoing monitoring of third-party providers to ensure compliance with our cybersecurity standards.</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not encountered cybersecurity threats or incidents that have had a material impact on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Cybersecurity Governance</w:t>
      </w:r>
    </w:p>
    <w:p>
      <w:pPr>
        <w:spacing w:after="0" w:line="203" w:lineRule="exact"/>
        <w:rPr>
          <w:sz w:val="20"/>
          <w:szCs w:val="20"/>
          <w:color w:val="auto"/>
        </w:rPr>
      </w:pPr>
    </w:p>
    <w:p>
      <w:pPr>
        <w:ind w:right="620" w:firstLine="402"/>
        <w:spacing w:after="0" w:line="267" w:lineRule="auto"/>
        <w:rPr>
          <w:sz w:val="20"/>
          <w:szCs w:val="20"/>
          <w:color w:val="auto"/>
        </w:rPr>
      </w:pPr>
      <w:r>
        <w:rPr>
          <w:rFonts w:ascii="Times New Roman" w:cs="Times New Roman" w:eastAsia="Times New Roman" w:hAnsi="Times New Roman"/>
          <w:sz w:val="17"/>
          <w:szCs w:val="17"/>
          <w:color w:val="auto"/>
        </w:rPr>
        <w:t>Our Nomination and Corporate Governance Committee has specific oversight responsibility for cybersecurity The Nomination and Corporate Governance Committee reviews and discusses with management our policies, practices and risks related to information security and cybersecurity.</w:t>
      </w:r>
    </w:p>
    <w:p>
      <w:pPr>
        <w:spacing w:after="0" w:line="160" w:lineRule="exact"/>
        <w:rPr>
          <w:sz w:val="20"/>
          <w:szCs w:val="20"/>
          <w:color w:val="auto"/>
        </w:rPr>
      </w:pPr>
    </w:p>
    <w:p>
      <w:pPr>
        <w:ind w:right="180" w:firstLine="402"/>
        <w:spacing w:after="0" w:line="267" w:lineRule="auto"/>
        <w:rPr>
          <w:sz w:val="20"/>
          <w:szCs w:val="20"/>
          <w:color w:val="auto"/>
        </w:rPr>
      </w:pPr>
      <w:r>
        <w:rPr>
          <w:rFonts w:ascii="Times New Roman" w:cs="Times New Roman" w:eastAsia="Times New Roman" w:hAnsi="Times New Roman"/>
          <w:sz w:val="17"/>
          <w:szCs w:val="17"/>
          <w:color w:val="auto"/>
        </w:rPr>
        <w:t>Our chief financial officer has primary responsibility for assessing, monitoring and managing cybersecurity risks. We utilize cybersecurity consultants to monitor and report cybersecurity threats or incidents to our chief financial officer and to resolve issues arising from such threats or incidents.</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chief financial officer updates the Nomination and Corporate Governance Committee on any risks related to cybersecurity as needed.</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5"/>
          <w:szCs w:val="15"/>
          <w:b w:val="1"/>
          <w:bCs w:val="1"/>
          <w:i w:val="1"/>
          <w:iCs w:val="1"/>
          <w:color w:val="auto"/>
        </w:rPr>
        <w:t>Properties</w:t>
      </w:r>
    </w:p>
    <w:p>
      <w:pPr>
        <w:spacing w:after="0" w:line="205" w:lineRule="exact"/>
        <w:rPr>
          <w:sz w:val="20"/>
          <w:szCs w:val="20"/>
          <w:color w:val="auto"/>
        </w:rPr>
      </w:pPr>
    </w:p>
    <w:p>
      <w:pPr>
        <w:ind w:right="40" w:firstLine="595"/>
        <w:spacing w:after="0" w:line="255" w:lineRule="auto"/>
        <w:rPr>
          <w:sz w:val="20"/>
          <w:szCs w:val="20"/>
          <w:color w:val="auto"/>
        </w:rPr>
      </w:pPr>
      <w:r>
        <w:rPr>
          <w:rFonts w:ascii="Times New Roman" w:cs="Times New Roman" w:eastAsia="Times New Roman" w:hAnsi="Times New Roman"/>
          <w:sz w:val="17"/>
          <w:szCs w:val="17"/>
          <w:color w:val="auto"/>
        </w:rPr>
        <w:t>We lease 3,610 square feet for our executive offices located at 4960 Peachtree Industrial Blvd., Norcross, GA. We also lease on a month-to-month basis approximately 300 square feet in Natick, MA, for use by research and development employees and which is collocated with one of our research and development service vendors. We believe these spaces are suitable for our present operations.</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5"/>
          <w:szCs w:val="15"/>
          <w:b w:val="1"/>
          <w:bCs w:val="1"/>
          <w:i w:val="1"/>
          <w:iCs w:val="1"/>
          <w:color w:val="auto"/>
        </w:rPr>
        <w:t>Legal Proceedings</w:t>
      </w:r>
    </w:p>
    <w:p>
      <w:pPr>
        <w:spacing w:after="0" w:line="205" w:lineRule="exact"/>
        <w:rPr>
          <w:sz w:val="20"/>
          <w:szCs w:val="20"/>
          <w:color w:val="auto"/>
        </w:rPr>
      </w:pPr>
    </w:p>
    <w:p>
      <w:pPr>
        <w:ind w:right="440" w:firstLine="595"/>
        <w:spacing w:after="0" w:line="267" w:lineRule="auto"/>
        <w:rPr>
          <w:sz w:val="20"/>
          <w:szCs w:val="20"/>
          <w:color w:val="auto"/>
        </w:rPr>
      </w:pPr>
      <w:r>
        <w:rPr>
          <w:rFonts w:ascii="Times New Roman" w:cs="Times New Roman" w:eastAsia="Times New Roman" w:hAnsi="Times New Roman"/>
          <w:sz w:val="17"/>
          <w:szCs w:val="17"/>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w:t>
      </w:r>
    </w:p>
    <w:p>
      <w:pPr>
        <w:spacing w:after="0" w:line="1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5"/>
          <w:szCs w:val="15"/>
          <w:b w:val="1"/>
          <w:bCs w:val="1"/>
          <w:i w:val="1"/>
          <w:iCs w:val="1"/>
          <w:color w:val="auto"/>
        </w:rPr>
        <w:t>Mine Safety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5"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5"/>
          <w:szCs w:val="15"/>
          <w:b w:val="1"/>
          <w:bCs w:val="1"/>
          <w:i w:val="1"/>
          <w:iCs w:val="1"/>
          <w:color w:val="auto"/>
        </w:rPr>
        <w:t>Market for Registrant’s Common Equity, Related Stockholder Matters and Issuer Purchases of Equity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began trading on The NASDAQ Capital Market under the symbol GALT effective March 23, 2012.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 of Common Stock</w:t>
      </w:r>
    </w:p>
    <w:p>
      <w:pPr>
        <w:spacing w:after="0" w:line="205" w:lineRule="exact"/>
        <w:rPr>
          <w:sz w:val="20"/>
          <w:szCs w:val="20"/>
          <w:color w:val="auto"/>
        </w:rPr>
      </w:pPr>
    </w:p>
    <w:p>
      <w:pPr>
        <w:ind w:right="260" w:firstLine="595"/>
        <w:spacing w:after="0" w:line="267" w:lineRule="auto"/>
        <w:rPr>
          <w:sz w:val="20"/>
          <w:szCs w:val="20"/>
          <w:color w:val="auto"/>
        </w:rPr>
      </w:pPr>
      <w:r>
        <w:rPr>
          <w:rFonts w:ascii="Times New Roman" w:cs="Times New Roman" w:eastAsia="Times New Roman" w:hAnsi="Times New Roman"/>
          <w:sz w:val="17"/>
          <w:szCs w:val="17"/>
          <w:color w:val="auto"/>
        </w:rPr>
        <w:t>As of February 28, 2025, there were 136 shareholders of record of our common stock. Because shares of our common stock are held by depositaries, brokers and other nominees, the number of beneficial holders of our shares is substantially larger than the number of record 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05" w:lineRule="exact"/>
        <w:rPr>
          <w:sz w:val="20"/>
          <w:szCs w:val="20"/>
          <w:color w:val="auto"/>
        </w:rPr>
      </w:pPr>
    </w:p>
    <w:p>
      <w:pPr>
        <w:ind w:right="320" w:firstLine="595"/>
        <w:spacing w:after="0" w:line="255" w:lineRule="auto"/>
        <w:rPr>
          <w:sz w:val="20"/>
          <w:szCs w:val="20"/>
          <w:color w:val="auto"/>
        </w:rPr>
      </w:pPr>
      <w:r>
        <w:rPr>
          <w:rFonts w:ascii="Times New Roman" w:cs="Times New Roman" w:eastAsia="Times New Roman" w:hAnsi="Times New Roman"/>
          <w:sz w:val="17"/>
          <w:szCs w:val="17"/>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5"/>
          <w:szCs w:val="15"/>
          <w:b w:val="1"/>
          <w:bCs w:val="1"/>
          <w:i w:val="1"/>
          <w:iCs w:val="1"/>
          <w:color w:val="auto"/>
        </w:rPr>
        <w:t>[Reserved]</w:t>
      </w: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5"/>
          <w:szCs w:val="15"/>
          <w:b w:val="1"/>
          <w:bCs w:val="1"/>
          <w:i w:val="1"/>
          <w:iCs w:val="1"/>
          <w:color w:val="auto"/>
        </w:rPr>
        <w:t>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5" w:lineRule="exact"/>
        <w:rPr>
          <w:sz w:val="20"/>
          <w:szCs w:val="20"/>
          <w:color w:val="auto"/>
        </w:rPr>
      </w:pPr>
    </w:p>
    <w:p>
      <w:pPr>
        <w:ind w:right="40" w:firstLine="595"/>
        <w:spacing w:after="0" w:line="281" w:lineRule="auto"/>
        <w:rPr>
          <w:sz w:val="20"/>
          <w:szCs w:val="20"/>
          <w:color w:val="auto"/>
        </w:rPr>
      </w:pPr>
      <w:r>
        <w:rPr>
          <w:rFonts w:ascii="Times New Roman" w:cs="Times New Roman" w:eastAsia="Times New Roman" w:hAnsi="Times New Roman"/>
          <w:sz w:val="15"/>
          <w:szCs w:val="15"/>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355" w:lineRule="exact"/>
        <w:rPr>
          <w:sz w:val="20"/>
          <w:szCs w:val="20"/>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early stage of development,</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NAVIGATE trial was our only active clinical trial, and we currently do not have plans or funding to undertake another clinical trial;</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substantial doubt about our ability to continue as a going concern;</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our inception and cannot assure you that we will generate revenue or profit,</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additional outside capital,</w:t>
      </w:r>
    </w:p>
    <w:p>
      <w:pPr>
        <w:spacing w:after="0" w:line="201"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enter into strategic partnerships for the development, commercialization, manufacturing and distribution of our proposed product candidates,</w:t>
      </w:r>
    </w:p>
    <w:p>
      <w:pPr>
        <w:spacing w:after="0" w:line="160"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related to any litigation,</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related to our technology and clinical trials, including expected dates of availability of clinical data,</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the efficacy and safety of our developmental product candidates in human trials,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improve upon, protect and/or enforce our intellectual property,</w:t>
      </w:r>
    </w:p>
    <w:p>
      <w:pPr>
        <w:spacing w:after="0" w:line="201" w:lineRule="exact"/>
        <w:rPr>
          <w:rFonts w:ascii="Times New Roman" w:cs="Times New Roman" w:eastAsia="Times New Roman" w:hAnsi="Times New Roman"/>
          <w:sz w:val="17"/>
          <w:szCs w:val="17"/>
          <w:color w:val="auto"/>
        </w:rPr>
      </w:pPr>
    </w:p>
    <w:p>
      <w:pPr>
        <w:ind w:left="780" w:hanging="446"/>
        <w:spacing w:after="0" w:line="267" w:lineRule="auto"/>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60"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stock price volatility in the biotechnology industry,</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limited trading volume for our stock, concentration of ownership of our stock, and other risks detailed herein and from time to time in our SEC reports, and</w:t>
      </w:r>
    </w:p>
    <w:p>
      <w:pPr>
        <w:spacing w:after="0" w:line="224" w:lineRule="exact"/>
        <w:rPr>
          <w:rFonts w:ascii="Times New Roman" w:cs="Times New Roman" w:eastAsia="Times New Roman" w:hAnsi="Times New Roman"/>
          <w:sz w:val="15"/>
          <w:szCs w:val="15"/>
          <w:color w:val="auto"/>
        </w:rPr>
      </w:pPr>
    </w:p>
    <w:p>
      <w:pPr>
        <w:ind w:left="780" w:hanging="446"/>
        <w:spacing w:after="0" w:line="267" w:lineRule="auto"/>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resulting from a pandemic or the reemergence of COVID-19, which delayed our clinical trial and development efforts, as well as the impact that such a pandemic has on the volatility of the capital market and our ability to access the capital market.</w:t>
      </w:r>
    </w:p>
    <w:p>
      <w:pPr>
        <w:sectPr>
          <w:pgSz w:w="11900" w:h="16838" w:orient="portrait"/>
          <w:cols w:equalWidth="0" w:num="1">
            <w:col w:w="11240"/>
          </w:cols>
          <w:pgMar w:left="320" w:top="115"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40" w:firstLine="595"/>
        <w:spacing w:after="0" w:line="288" w:lineRule="auto"/>
        <w:rPr>
          <w:sz w:val="20"/>
          <w:szCs w:val="20"/>
          <w:color w:val="auto"/>
        </w:rPr>
      </w:pPr>
      <w:r>
        <w:rPr>
          <w:rFonts w:ascii="Times New Roman" w:cs="Times New Roman" w:eastAsia="Times New Roman" w:hAnsi="Times New Roman"/>
          <w:sz w:val="15"/>
          <w:szCs w:val="15"/>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5" w:lineRule="exact"/>
        <w:rPr>
          <w:sz w:val="20"/>
          <w:szCs w:val="20"/>
          <w:color w:val="auto"/>
        </w:rPr>
      </w:pPr>
    </w:p>
    <w:p>
      <w:pPr>
        <w:ind w:firstLine="595"/>
        <w:spacing w:after="0" w:line="246" w:lineRule="auto"/>
        <w:rPr>
          <w:sz w:val="20"/>
          <w:szCs w:val="20"/>
          <w:color w:val="auto"/>
        </w:rPr>
      </w:pPr>
      <w:r>
        <w:rPr>
          <w:rFonts w:ascii="Times New Roman" w:cs="Times New Roman" w:eastAsia="Times New Roman" w:hAnsi="Times New Roman"/>
          <w:sz w:val="17"/>
          <w:szCs w:val="17"/>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81" w:lineRule="exact"/>
        <w:rPr>
          <w:sz w:val="20"/>
          <w:szCs w:val="20"/>
          <w:color w:val="auto"/>
        </w:rPr>
      </w:pPr>
    </w:p>
    <w:p>
      <w:pPr>
        <w:ind w:right="60" w:firstLine="595"/>
        <w:spacing w:after="0" w:line="247" w:lineRule="auto"/>
        <w:rPr>
          <w:sz w:val="20"/>
          <w:szCs w:val="20"/>
          <w:color w:val="auto"/>
        </w:rPr>
      </w:pPr>
      <w:r>
        <w:rPr>
          <w:rFonts w:ascii="Times New Roman" w:cs="Times New Roman" w:eastAsia="Times New Roman" w:hAnsi="Times New Roman"/>
          <w:sz w:val="17"/>
          <w:szCs w:val="17"/>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Results of Operations from the Years Ended December 31, 2024 and 2023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7"/>
        </w:trPr>
        <w:tc>
          <w:tcPr>
            <w:tcW w:w="5380" w:type="dxa"/>
            <w:vAlign w:val="bottom"/>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6"/>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center"/>
              <w:ind w:left="457"/>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2024 as Compared to</w:t>
            </w:r>
          </w:p>
        </w:tc>
      </w:tr>
      <w:tr>
        <w:trPr>
          <w:trHeight w:val="224"/>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78"/>
        </w:trPr>
        <w:tc>
          <w:tcPr>
            <w:tcW w:w="5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457"/>
              <w:spacing w:after="0" w:line="178" w:lineRule="exact"/>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5"/>
                <w:szCs w:val="15"/>
                <w:color w:val="auto"/>
              </w:rPr>
            </w:pPr>
          </w:p>
        </w:tc>
      </w:tr>
      <w:tr>
        <w:trPr>
          <w:trHeight w:val="224"/>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6"/>
              </w:rPr>
              <w:t>Change</w:t>
            </w:r>
          </w:p>
        </w:tc>
        <w:tc>
          <w:tcPr>
            <w:tcW w:w="180" w:type="dxa"/>
            <w:vAlign w:val="bottom"/>
          </w:tcPr>
          <w:p>
            <w:pPr>
              <w:spacing w:after="0"/>
              <w:rPr>
                <w:sz w:val="19"/>
                <w:szCs w:val="19"/>
                <w:color w:val="auto"/>
              </w:rPr>
            </w:pPr>
          </w:p>
        </w:tc>
      </w:tr>
      <w:tr>
        <w:trPr>
          <w:trHeight w:val="198"/>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40" w:type="dxa"/>
            <w:vAlign w:val="bottom"/>
            <w:gridSpan w:val="7"/>
          </w:tcPr>
          <w:p>
            <w:pPr>
              <w:ind w:left="80"/>
              <w:spacing w:after="0"/>
              <w:rPr>
                <w:sz w:val="20"/>
                <w:szCs w:val="20"/>
                <w:color w:val="auto"/>
              </w:rPr>
            </w:pPr>
            <w:r>
              <w:rPr>
                <w:rFonts w:ascii="Times New Roman" w:cs="Times New Roman" w:eastAsia="Times New Roman" w:hAnsi="Times New Roman"/>
                <w:sz w:val="17"/>
                <w:szCs w:val="17"/>
                <w:b w:val="1"/>
                <w:bCs w:val="1"/>
                <w:color w:val="auto"/>
              </w:rPr>
              <w:t>(in thousands, except %)</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36,571</w:t>
            </w:r>
          </w:p>
        </w:tc>
        <w:tc>
          <w:tcPr>
            <w:tcW w:w="4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4,441</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13.8%</w:t>
            </w:r>
          </w:p>
        </w:tc>
      </w:tr>
    </w:tbl>
    <w:p>
      <w:pPr>
        <w:spacing w:after="0" w:line="182" w:lineRule="exact"/>
        <w:rPr>
          <w:sz w:val="20"/>
          <w:szCs w:val="20"/>
          <w:color w:val="auto"/>
        </w:rPr>
      </w:pPr>
    </w:p>
    <w:p>
      <w:pPr>
        <w:ind w:right="40" w:firstLine="595"/>
        <w:spacing w:after="0" w:line="246" w:lineRule="auto"/>
        <w:rPr>
          <w:sz w:val="20"/>
          <w:szCs w:val="20"/>
          <w:color w:val="auto"/>
        </w:rPr>
      </w:pPr>
      <w:r>
        <w:rPr>
          <w:rFonts w:ascii="Times New Roman" w:cs="Times New Roman" w:eastAsia="Times New Roman" w:hAnsi="Times New Roman"/>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Our research and development expenses were as follows:</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4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88"/>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Direct external expenses:</w:t>
            </w: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(in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75"/>
              </w:rPr>
              <w:t>thousands)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96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 programs</w:t>
            </w:r>
          </w:p>
        </w:tc>
        <w:tc>
          <w:tcPr>
            <w:tcW w:w="39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29,079</w:t>
            </w:r>
          </w:p>
        </w:tc>
        <w:tc>
          <w:tcPr>
            <w:tcW w:w="52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23,942</w:t>
            </w:r>
          </w:p>
        </w:tc>
        <w:tc>
          <w:tcPr>
            <w:tcW w:w="0" w:type="dxa"/>
            <w:vAlign w:val="bottom"/>
          </w:tcPr>
          <w:p>
            <w:pPr>
              <w:spacing w:after="0"/>
              <w:rPr>
                <w:sz w:val="1"/>
                <w:szCs w:val="1"/>
                <w:color w:val="auto"/>
              </w:rPr>
            </w:pPr>
          </w:p>
        </w:tc>
      </w:tr>
      <w:tr>
        <w:trPr>
          <w:trHeight w:val="198"/>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Pre-clinical activities</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3,021</w:t>
            </w: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research and development expenses:</w:t>
            </w:r>
          </w:p>
        </w:tc>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Payroll and other including stock-based compensation</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5,167</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4960" w:type="dxa"/>
            <w:vAlign w:val="bottom"/>
          </w:tcPr>
          <w:p>
            <w:pPr>
              <w:spacing w:after="0"/>
              <w:rPr>
                <w:sz w:val="24"/>
                <w:szCs w:val="24"/>
                <w:color w:val="auto"/>
              </w:rPr>
            </w:pPr>
          </w:p>
        </w:tc>
        <w:tc>
          <w:tcPr>
            <w:tcW w:w="3720" w:type="dxa"/>
            <w:vAlign w:val="bottom"/>
          </w:tcPr>
          <w:p>
            <w:pPr>
              <w:jc w:val="right"/>
              <w:ind w:right="2906"/>
              <w:spacing w:after="0"/>
              <w:rPr>
                <w:sz w:val="20"/>
                <w:szCs w:val="20"/>
                <w:color w:val="auto"/>
              </w:rPr>
            </w:pPr>
            <w:r>
              <w:rPr>
                <w:rFonts w:ascii="Times New Roman" w:cs="Times New Roman" w:eastAsia="Times New Roman" w:hAnsi="Times New Roman"/>
                <w:sz w:val="13"/>
                <w:szCs w:val="13"/>
                <w:color w:val="auto"/>
              </w:rPr>
              <w:t>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96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120" w:firstLine="595"/>
        <w:spacing w:after="0" w:line="251" w:lineRule="auto"/>
        <w:rPr>
          <w:sz w:val="20"/>
          <w:szCs w:val="20"/>
          <w:color w:val="auto"/>
        </w:rPr>
      </w:pPr>
      <w:r>
        <w:rPr>
          <w:rFonts w:ascii="Times New Roman" w:cs="Times New Roman" w:eastAsia="Times New Roman" w:hAnsi="Times New Roman"/>
          <w:sz w:val="17"/>
          <w:szCs w:val="17"/>
          <w:color w:val="auto"/>
        </w:rPr>
        <w:t>Clinical programs expenses increased in the year ended December 31, 2024 over the year ended December 31, 2023 primarily due to costs related to our the NAVIGATE clinical trial activities and an increase in costs related to contract manufacturing of belapectin. Pre-clinical activities decreased due to activities incurred in support of the clinical program such as development and reproductive toxicity studies, clinical supplies and other supportive activities. Payroll and other costs increased primarily due to additional employees being hired in 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w:t>
            </w:r>
          </w:p>
        </w:tc>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76"/>
        </w:trPr>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2024 as Compared to</w:t>
            </w:r>
          </w:p>
        </w:tc>
      </w:tr>
      <w:tr>
        <w:trPr>
          <w:trHeight w:val="224"/>
        </w:trPr>
        <w:tc>
          <w:tcPr>
            <w:tcW w:w="4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40" w:type="dxa"/>
            <w:vAlign w:val="bottom"/>
          </w:tcPr>
          <w:p>
            <w:pPr>
              <w:spacing w:after="0"/>
              <w:rPr>
                <w:sz w:val="19"/>
                <w:szCs w:val="19"/>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78"/>
        </w:trPr>
        <w:tc>
          <w:tcPr>
            <w:tcW w:w="4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97"/>
              <w:spacing w:after="0" w:line="178" w:lineRule="exact"/>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5"/>
                <w:szCs w:val="15"/>
                <w:color w:val="auto"/>
              </w:rPr>
            </w:pPr>
          </w:p>
        </w:tc>
      </w:tr>
      <w:tr>
        <w:trPr>
          <w:trHeight w:val="224"/>
        </w:trPr>
        <w:tc>
          <w:tcPr>
            <w:tcW w:w="4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6"/>
              </w:rPr>
              <w:t>Change</w:t>
            </w:r>
          </w:p>
        </w:tc>
        <w:tc>
          <w:tcPr>
            <w:tcW w:w="180" w:type="dxa"/>
            <w:vAlign w:val="bottom"/>
          </w:tcPr>
          <w:p>
            <w:pPr>
              <w:spacing w:after="0"/>
              <w:rPr>
                <w:sz w:val="19"/>
                <w:szCs w:val="19"/>
                <w:color w:val="auto"/>
              </w:rPr>
            </w:pPr>
          </w:p>
        </w:tc>
      </w:tr>
      <w:tr>
        <w:trPr>
          <w:trHeight w:val="198"/>
        </w:trPr>
        <w:tc>
          <w:tcPr>
            <w:tcW w:w="4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(in thousands, except %)</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20" w:type="dxa"/>
            <w:vAlign w:val="bottom"/>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5,862</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5,942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pacing w:after="0" w:line="182" w:lineRule="exact"/>
        <w:rPr>
          <w:sz w:val="20"/>
          <w:szCs w:val="20"/>
          <w:color w:val="auto"/>
        </w:rPr>
      </w:pPr>
    </w:p>
    <w:p>
      <w:pPr>
        <w:ind w:right="60" w:firstLine="595"/>
        <w:spacing w:after="0" w:line="255"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2024, as compared to the same period for 2023 are due to a decrease in non-cash stock-based compensation of $206,000 offset by other administrative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w:t>
      </w:r>
    </w:p>
    <w:p>
      <w:pPr>
        <w:spacing w:after="0" w:line="205" w:lineRule="exact"/>
        <w:rPr>
          <w:sz w:val="20"/>
          <w:szCs w:val="20"/>
          <w:color w:val="auto"/>
        </w:rPr>
      </w:pPr>
    </w:p>
    <w:p>
      <w:pPr>
        <w:ind w:right="240" w:firstLine="595"/>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2024, other income and expense consisted of $336,000 of interest income offset by interest expense and amortization of debt discounts on convertible notes payable and convertible line of credit of $5,540,000 and change in fair value of derivatives of $(590,000).</w:t>
      </w:r>
    </w:p>
    <w:p>
      <w:pPr>
        <w:spacing w:after="0" w:line="160" w:lineRule="exact"/>
        <w:rPr>
          <w:sz w:val="20"/>
          <w:szCs w:val="20"/>
          <w:color w:val="auto"/>
        </w:rPr>
      </w:pPr>
    </w:p>
    <w:p>
      <w:pPr>
        <w:ind w:right="240" w:firstLine="595"/>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2023, other income and expense consisted of $230,000 of interest income offset by interest expense and amortization of debt discounts on convertible notes payable and convertible line of credit of $2,792,000 and change in fair value of derivatives of $432,000.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from the Years Ended December 31, 2023 and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74"/>
        </w:trPr>
        <w:tc>
          <w:tcPr>
            <w:tcW w:w="4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4"/>
          </w:tcPr>
          <w:p>
            <w:pPr>
              <w:jc w:val="center"/>
              <w:ind w:left="497"/>
              <w:spacing w:after="0"/>
              <w:rPr>
                <w:sz w:val="20"/>
                <w:szCs w:val="20"/>
                <w:color w:val="auto"/>
              </w:rPr>
            </w:pPr>
            <w:r>
              <w:rPr>
                <w:rFonts w:ascii="Times New Roman" w:cs="Times New Roman" w:eastAsia="Times New Roman" w:hAnsi="Times New Roman"/>
                <w:sz w:val="17"/>
                <w:szCs w:val="17"/>
                <w:b w:val="1"/>
                <w:bCs w:val="1"/>
                <w:color w:val="auto"/>
                <w:w w:val="95"/>
              </w:rPr>
              <w:t>Year ended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2023 as Compared to</w:t>
            </w:r>
          </w:p>
        </w:tc>
      </w:tr>
      <w:tr>
        <w:trPr>
          <w:trHeight w:val="224"/>
        </w:trPr>
        <w:tc>
          <w:tcPr>
            <w:tcW w:w="4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6"/>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16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4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(in thousands, except %)</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32,130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31,737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182" w:lineRule="exact"/>
        <w:rPr>
          <w:sz w:val="20"/>
          <w:szCs w:val="20"/>
          <w:color w:val="auto"/>
        </w:rPr>
      </w:pPr>
    </w:p>
    <w:p>
      <w:pPr>
        <w:ind w:right="40" w:firstLine="595"/>
        <w:spacing w:after="0" w:line="246" w:lineRule="auto"/>
        <w:rPr>
          <w:sz w:val="20"/>
          <w:szCs w:val="20"/>
          <w:color w:val="auto"/>
        </w:rPr>
      </w:pPr>
      <w:r>
        <w:rPr>
          <w:rFonts w:ascii="Times New Roman" w:cs="Times New Roman" w:eastAsia="Times New Roman" w:hAnsi="Times New Roman"/>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Our research and development expenses were as follows:</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4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88"/>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Direct external expenses:</w:t>
            </w: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(in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75"/>
              </w:rPr>
              <w:t>thousands)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96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 programs</w:t>
            </w:r>
          </w:p>
        </w:tc>
        <w:tc>
          <w:tcPr>
            <w:tcW w:w="39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23,942</w:t>
            </w:r>
          </w:p>
        </w:tc>
        <w:tc>
          <w:tcPr>
            <w:tcW w:w="52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26,746</w:t>
            </w:r>
          </w:p>
        </w:tc>
        <w:tc>
          <w:tcPr>
            <w:tcW w:w="0" w:type="dxa"/>
            <w:vAlign w:val="bottom"/>
          </w:tcPr>
          <w:p>
            <w:pPr>
              <w:spacing w:after="0"/>
              <w:rPr>
                <w:sz w:val="1"/>
                <w:szCs w:val="1"/>
                <w:color w:val="auto"/>
              </w:rPr>
            </w:pPr>
          </w:p>
        </w:tc>
      </w:tr>
      <w:tr>
        <w:trPr>
          <w:trHeight w:val="198"/>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Pre-clinical activities</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1,262</w:t>
            </w: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research and development expenses:</w:t>
            </w:r>
          </w:p>
        </w:tc>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Payroll and other including stock-based compensation</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3,727</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4960" w:type="dxa"/>
            <w:vAlign w:val="bottom"/>
          </w:tcPr>
          <w:p>
            <w:pPr>
              <w:spacing w:after="0"/>
              <w:rPr>
                <w:sz w:val="24"/>
                <w:szCs w:val="24"/>
                <w:color w:val="auto"/>
              </w:rPr>
            </w:pPr>
          </w:p>
        </w:tc>
        <w:tc>
          <w:tcPr>
            <w:tcW w:w="3720" w:type="dxa"/>
            <w:vAlign w:val="bottom"/>
          </w:tcPr>
          <w:p>
            <w:pPr>
              <w:jc w:val="right"/>
              <w:ind w:right="2906"/>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96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120" w:firstLine="595"/>
        <w:spacing w:after="0" w:line="251" w:lineRule="auto"/>
        <w:rPr>
          <w:sz w:val="20"/>
          <w:szCs w:val="20"/>
          <w:color w:val="auto"/>
        </w:rPr>
      </w:pPr>
      <w:r>
        <w:rPr>
          <w:rFonts w:ascii="Times New Roman" w:cs="Times New Roman" w:eastAsia="Times New Roman" w:hAnsi="Times New Roman"/>
          <w:sz w:val="17"/>
          <w:szCs w:val="17"/>
          <w:color w:val="auto"/>
        </w:rPr>
        <w:t>Clinical programs expenses decreased in the year ended December 31, 2023 over the year ended December 31, 2022 primarily due to costs related to our the NAVIGATE clinical trial activities and a decrease in costs related to contract manufacturing of belapectin. Pre-clinical activities increased due to activities incurred in support of the clinical program such as development and reproductive toxicity studies, clinical supplies and other supportive activities. Payroll and other costs increased primarily due to additional employees being hired in research and development.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2023 as Compared to</w:t>
            </w:r>
          </w:p>
        </w:tc>
      </w:tr>
      <w:tr>
        <w:trPr>
          <w:trHeight w:val="224"/>
        </w:trPr>
        <w:tc>
          <w:tcPr>
            <w:tcW w:w="3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9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78"/>
        </w:trPr>
        <w:tc>
          <w:tcPr>
            <w:tcW w:w="38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97"/>
              <w:spacing w:after="0" w:line="178" w:lineRule="exact"/>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5"/>
                <w:szCs w:val="15"/>
                <w:color w:val="auto"/>
              </w:rPr>
            </w:pPr>
          </w:p>
        </w:tc>
      </w:tr>
      <w:tr>
        <w:trPr>
          <w:trHeight w:val="224"/>
        </w:trPr>
        <w:tc>
          <w:tcPr>
            <w:tcW w:w="3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6"/>
              </w:rPr>
              <w:t>Change</w:t>
            </w:r>
          </w:p>
        </w:tc>
        <w:tc>
          <w:tcPr>
            <w:tcW w:w="180" w:type="dxa"/>
            <w:vAlign w:val="bottom"/>
          </w:tcPr>
          <w:p>
            <w:pPr>
              <w:spacing w:after="0"/>
              <w:rPr>
                <w:sz w:val="19"/>
                <w:szCs w:val="19"/>
                <w:color w:val="auto"/>
              </w:rPr>
            </w:pPr>
          </w:p>
        </w:tc>
      </w:tr>
      <w:tr>
        <w:trPr>
          <w:trHeight w:val="178"/>
        </w:trPr>
        <w:tc>
          <w:tcPr>
            <w:tcW w:w="38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gridSpan w:val="6"/>
          </w:tcPr>
          <w:p>
            <w:pPr>
              <w:ind w:left="80"/>
              <w:spacing w:after="0" w:line="178" w:lineRule="exact"/>
              <w:rPr>
                <w:sz w:val="20"/>
                <w:szCs w:val="20"/>
                <w:color w:val="auto"/>
              </w:rPr>
            </w:pPr>
            <w:r>
              <w:rPr>
                <w:rFonts w:ascii="Times New Roman" w:cs="Times New Roman" w:eastAsia="Times New Roman" w:hAnsi="Times New Roman"/>
                <w:sz w:val="17"/>
                <w:szCs w:val="17"/>
                <w:b w:val="1"/>
                <w:bCs w:val="1"/>
                <w:color w:val="auto"/>
              </w:rPr>
              <w:t>(in thousands, except</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9"/>
        </w:trPr>
        <w:tc>
          <w:tcPr>
            <w:tcW w:w="3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8"/>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5,942</w:t>
            </w: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(673)</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182" w:lineRule="exact"/>
        <w:rPr>
          <w:sz w:val="20"/>
          <w:szCs w:val="20"/>
          <w:color w:val="auto"/>
        </w:rPr>
      </w:pPr>
    </w:p>
    <w:p>
      <w:pPr>
        <w:ind w:right="60" w:firstLine="595"/>
        <w:spacing w:after="0" w:line="255"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2023, as compared to the same period for 2022 are due to a decrease in non-cash stock-based compensation of $624,000.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w:t>
      </w:r>
    </w:p>
    <w:p>
      <w:pPr>
        <w:spacing w:after="0" w:line="205" w:lineRule="exact"/>
        <w:rPr>
          <w:sz w:val="20"/>
          <w:szCs w:val="20"/>
          <w:color w:val="auto"/>
        </w:rPr>
      </w:pPr>
    </w:p>
    <w:p>
      <w:pPr>
        <w:ind w:right="240" w:firstLine="595"/>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2023, other income and expense consisted of $230,000 of interest income offset by interest expense and amortization of debt discounts on convertible notes payable and convertible line of credit of $2,792,000 and change in fair value of derivatives of $432,000.</w:t>
      </w:r>
    </w:p>
    <w:p>
      <w:pPr>
        <w:spacing w:after="0" w:line="160" w:lineRule="exact"/>
        <w:rPr>
          <w:sz w:val="20"/>
          <w:szCs w:val="20"/>
          <w:color w:val="auto"/>
        </w:rPr>
      </w:pPr>
    </w:p>
    <w:p>
      <w:pPr>
        <w:ind w:right="620" w:firstLine="595"/>
        <w:spacing w:after="0" w:line="335" w:lineRule="auto"/>
        <w:rPr>
          <w:sz w:val="20"/>
          <w:szCs w:val="20"/>
          <w:color w:val="auto"/>
        </w:rPr>
      </w:pPr>
      <w:r>
        <w:rPr>
          <w:rFonts w:ascii="Times New Roman" w:cs="Times New Roman" w:eastAsia="Times New Roman" w:hAnsi="Times New Roman"/>
          <w:sz w:val="15"/>
          <w:szCs w:val="15"/>
          <w:color w:val="auto"/>
        </w:rPr>
        <w:t>During the year ended December 31, 2022, other income and expense consisted of $52,000 of interest income and change in fair value of derivatives of $557,000 offset by interest expense and amortization of debt discounts on convertible notes payable and convertible line of credit of $1,033,000.</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5" w:lineRule="exact"/>
        <w:rPr>
          <w:sz w:val="20"/>
          <w:szCs w:val="20"/>
          <w:color w:val="auto"/>
        </w:rPr>
      </w:pPr>
    </w:p>
    <w:p>
      <w:pPr>
        <w:ind w:right="40" w:firstLine="595"/>
        <w:spacing w:after="0" w:line="286" w:lineRule="auto"/>
        <w:rPr>
          <w:sz w:val="20"/>
          <w:szCs w:val="20"/>
          <w:color w:val="auto"/>
        </w:rPr>
      </w:pPr>
      <w:r>
        <w:rPr>
          <w:rFonts w:ascii="Times New Roman" w:cs="Times New Roman" w:eastAsia="Times New Roman" w:hAnsi="Times New Roman"/>
          <w:sz w:val="15"/>
          <w:szCs w:val="15"/>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2024, we raised a net total of $314.5 million from these offerings. At December 31, 2024, the Company had $15.1 million of unrestricted cash and cash equivalents in addition to $6 million available under a line of credit provided by our chairman available to fund future operations. Additionally, in March 2025, we signed a new supplemental line of credit agreement with our chairman for an additional $5 million of available borrowings. The Company believes there is sufficient cash, including $11 million under the two lines of credit, to fund currently planned operations through August 2025. We will require more cash to fund our operations after August 2025. There can be no assurance that we will be successful in obtaining such new financing or, if available, that such financing will be on terms favorable to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compared to 2023</w:t>
      </w:r>
    </w:p>
    <w:p>
      <w:pPr>
        <w:spacing w:after="0" w:line="203" w:lineRule="exact"/>
        <w:rPr>
          <w:sz w:val="20"/>
          <w:szCs w:val="20"/>
          <w:color w:val="auto"/>
        </w:rPr>
      </w:pPr>
    </w:p>
    <w:p>
      <w:pPr>
        <w:ind w:right="580" w:firstLine="595"/>
        <w:spacing w:after="0" w:line="267" w:lineRule="auto"/>
        <w:rPr>
          <w:sz w:val="20"/>
          <w:szCs w:val="20"/>
          <w:color w:val="auto"/>
        </w:rPr>
      </w:pPr>
      <w:r>
        <w:rPr>
          <w:rFonts w:ascii="Times New Roman" w:cs="Times New Roman" w:eastAsia="Times New Roman" w:hAnsi="Times New Roman"/>
          <w:sz w:val="17"/>
          <w:szCs w:val="17"/>
          <w:color w:val="auto"/>
        </w:rPr>
        <w:t>Net cash used in operations increased by $8,802,000 to $41,767,000 for 2024, as compared to $32,965,000 for 2023. Cash operating expenses increased principally due to increased research and development activities primarily related to our NAVIGATE clinical trial and associated activities.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were no equipment purchases or other investing activities in 2024 or 2023.</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Net cash provided by financing activities was $31,227,000 during 2024 as compared to $40,033,000 during 2023, due primarily to the transactions described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185" w:lineRule="exact"/>
        <w:rPr>
          <w:sz w:val="20"/>
          <w:szCs w:val="20"/>
          <w:color w:val="auto"/>
        </w:rPr>
      </w:pPr>
    </w:p>
    <w:p>
      <w:pPr>
        <w:ind w:right="60" w:firstLine="595"/>
        <w:spacing w:after="0" w:line="255" w:lineRule="auto"/>
        <w:rPr>
          <w:sz w:val="20"/>
          <w:szCs w:val="20"/>
          <w:color w:val="auto"/>
        </w:rPr>
      </w:pPr>
      <w:r>
        <w:rPr>
          <w:rFonts w:ascii="Times New Roman" w:cs="Times New Roman" w:eastAsia="Times New Roman" w:hAnsi="Times New Roman"/>
          <w:sz w:val="17"/>
          <w:szCs w:val="17"/>
          <w:color w:val="auto"/>
        </w:rPr>
        <w:t>In 2024, we received $30,000,000 in proceeds under a convertible line of credit provided by our chairman in addition to $1.2 million in proceeds from exercises of stock options and purchase warrants. In 2023, we received $30,000,000 in proceeds under a convertible line of credit provided by our chairman in addition to $10 million in proceeds from stock purchase warrants exercised by our chairman.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203" w:lineRule="exact"/>
        <w:rPr>
          <w:sz w:val="20"/>
          <w:szCs w:val="20"/>
          <w:color w:val="auto"/>
        </w:rPr>
      </w:pPr>
    </w:p>
    <w:p>
      <w:pPr>
        <w:ind w:right="580" w:firstLine="595"/>
        <w:spacing w:after="0" w:line="267" w:lineRule="auto"/>
        <w:rPr>
          <w:sz w:val="20"/>
          <w:szCs w:val="20"/>
          <w:color w:val="auto"/>
        </w:rPr>
      </w:pPr>
      <w:r>
        <w:rPr>
          <w:rFonts w:ascii="Times New Roman" w:cs="Times New Roman" w:eastAsia="Times New Roman" w:hAnsi="Times New Roman"/>
          <w:sz w:val="17"/>
          <w:szCs w:val="17"/>
          <w:color w:val="auto"/>
        </w:rPr>
        <w:t>Net cash used in operations increased by $1,909,000 to $32,965,000 for 2023, as compared to $31,056,000 for 2022. Cash operating expenses increased principally due to increased research and development activities primarily related to our NAVIGATE clinical trial and associated activities.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were no equipment purchases or other investing activities in 2023 or 2022.</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Net cash provided by financing activities was $40,033,000 during 2023 as compared to $10,000,000 during 2022, due primarily to the transactions described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185" w:lineRule="exact"/>
        <w:rPr>
          <w:sz w:val="20"/>
          <w:szCs w:val="20"/>
          <w:color w:val="auto"/>
        </w:rPr>
      </w:pPr>
    </w:p>
    <w:p>
      <w:pPr>
        <w:ind w:right="360" w:firstLine="595"/>
        <w:spacing w:after="0" w:line="267" w:lineRule="auto"/>
        <w:rPr>
          <w:sz w:val="20"/>
          <w:szCs w:val="20"/>
          <w:color w:val="auto"/>
        </w:rPr>
      </w:pPr>
      <w:r>
        <w:rPr>
          <w:rFonts w:ascii="Times New Roman" w:cs="Times New Roman" w:eastAsia="Times New Roman" w:hAnsi="Times New Roman"/>
          <w:sz w:val="17"/>
          <w:szCs w:val="17"/>
          <w:color w:val="auto"/>
        </w:rPr>
        <w:t>In 2023, we received $30,000,000 in proceeds under a convertible line of credit provided by our chairman in addition to $10 million in proceeds from stock purchase warrants exercised by our chairman. In 2022, we received proceeds of $10,000,000 under a convertible line of credit provided by our chairman.</w:t>
      </w:r>
    </w:p>
    <w:p>
      <w:pPr>
        <w:sectPr>
          <w:pgSz w:w="11900" w:h="16838" w:orient="portrait"/>
          <w:cols w:equalWidth="0" w:num="1">
            <w:col w:w="11240"/>
          </w:cols>
          <w:pgMar w:left="320" w:top="115"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205" w:lineRule="exact"/>
        <w:rPr>
          <w:sz w:val="20"/>
          <w:szCs w:val="20"/>
          <w:color w:val="auto"/>
        </w:rPr>
      </w:pPr>
    </w:p>
    <w:p>
      <w:pPr>
        <w:jc w:val="both"/>
        <w:ind w:right="100" w:firstLine="595"/>
        <w:spacing w:after="0" w:line="251" w:lineRule="auto"/>
        <w:rPr>
          <w:sz w:val="20"/>
          <w:szCs w:val="20"/>
          <w:color w:val="auto"/>
        </w:rPr>
      </w:pPr>
      <w:r>
        <w:rPr>
          <w:rFonts w:ascii="Times New Roman" w:cs="Times New Roman" w:eastAsia="Times New Roman" w:hAnsi="Times New Roman"/>
          <w:sz w:val="17"/>
          <w:szCs w:val="17"/>
          <w:color w:val="auto"/>
        </w:rPr>
        <w:t>Effective February 28, 2022, the Company entered into an amendment to its operating lease for office space in Norcross, GA for a term of thirty-eight months, beginning on March 1, 2022 and ending April 30, 2025 at an average rate of approximately $4,250 per month. The amended lease provided for free rent for the first six months of the lease and continues the security deposit of $6,000. In addition to base rental payments included in the contractual obligations table above, the Company is responsible for our pro-rata share of the operating expenses for the building.</w:t>
      </w:r>
    </w:p>
    <w:p>
      <w:pPr>
        <w:spacing w:after="0" w:line="174" w:lineRule="exact"/>
        <w:rPr>
          <w:sz w:val="20"/>
          <w:szCs w:val="20"/>
          <w:color w:val="auto"/>
        </w:rPr>
      </w:pPr>
    </w:p>
    <w:p>
      <w:pPr>
        <w:jc w:val="both"/>
        <w:ind w:firstLine="595"/>
        <w:spacing w:after="0" w:line="255" w:lineRule="auto"/>
        <w:rPr>
          <w:sz w:val="20"/>
          <w:szCs w:val="20"/>
          <w:color w:val="auto"/>
        </w:rPr>
      </w:pPr>
      <w:r>
        <w:rPr>
          <w:rFonts w:ascii="Times New Roman" w:cs="Times New Roman" w:eastAsia="Times New Roman" w:hAnsi="Times New Roman"/>
          <w:sz w:val="17"/>
          <w:szCs w:val="17"/>
          <w:color w:val="auto"/>
        </w:rPr>
        <w:t>In October 2012, the Company entered into an operating lease for office and lab space for research and development activities in Natick, MA. The lease is for a period of one year, beginning on October 1, 2012, for a rate of $15,000 for the term, payable in equal monthly increments. This lease was continued on a month-to-month basis from October 1, 2013.</w:t>
      </w:r>
    </w:p>
    <w:p>
      <w:pPr>
        <w:spacing w:after="0" w:line="167" w:lineRule="exact"/>
        <w:rPr>
          <w:sz w:val="20"/>
          <w:szCs w:val="20"/>
          <w:color w:val="auto"/>
        </w:rPr>
      </w:pPr>
    </w:p>
    <w:p>
      <w:pPr>
        <w:jc w:val="both"/>
        <w:ind w:right="160" w:firstLine="40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Other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have engaged outside vendors for certain services associated with our clinical trials. These services are generally available from several providers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accordingly, our arrangements are typically cancellable on 30 days notice.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05" w:lineRule="exact"/>
        <w:rPr>
          <w:sz w:val="20"/>
          <w:szCs w:val="20"/>
          <w:color w:val="auto"/>
        </w:rPr>
      </w:pPr>
    </w:p>
    <w:p>
      <w:pPr>
        <w:jc w:val="both"/>
        <w:ind w:right="140" w:firstLine="595"/>
        <w:spacing w:after="0" w:line="255" w:lineRule="auto"/>
        <w:rPr>
          <w:sz w:val="20"/>
          <w:szCs w:val="20"/>
          <w:color w:val="auto"/>
        </w:rPr>
      </w:pPr>
      <w:r>
        <w:rPr>
          <w:rFonts w:ascii="Times New Roman" w:cs="Times New Roman" w:eastAsia="Times New Roman" w:hAnsi="Times New Roman"/>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5" w:lineRule="exact"/>
        <w:rPr>
          <w:sz w:val="20"/>
          <w:szCs w:val="20"/>
          <w:color w:val="auto"/>
        </w:rPr>
      </w:pPr>
    </w:p>
    <w:p>
      <w:pPr>
        <w:ind w:right="60" w:firstLine="595"/>
        <w:spacing w:after="0" w:line="284" w:lineRule="auto"/>
        <w:rPr>
          <w:sz w:val="20"/>
          <w:szCs w:val="20"/>
          <w:color w:val="auto"/>
        </w:rPr>
      </w:pPr>
      <w:r>
        <w:rPr>
          <w:rFonts w:ascii="Times New Roman" w:cs="Times New Roman" w:eastAsia="Times New Roman" w:hAnsi="Times New Roman"/>
          <w:sz w:val="15"/>
          <w:szCs w:val="15"/>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valuations and performance vesting features of certain of these instruments, accrued liabilities, deferred income taxes and cash flows.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51" w:lineRule="exact"/>
        <w:rPr>
          <w:sz w:val="20"/>
          <w:szCs w:val="20"/>
          <w:color w:val="auto"/>
        </w:rPr>
      </w:pPr>
    </w:p>
    <w:p>
      <w:pPr>
        <w:ind w:firstLine="402"/>
        <w:spacing w:after="0" w:line="285" w:lineRule="auto"/>
        <w:rPr>
          <w:sz w:val="20"/>
          <w:szCs w:val="20"/>
          <w:color w:val="auto"/>
        </w:rPr>
      </w:pPr>
      <w:r>
        <w:rPr>
          <w:rFonts w:ascii="Times New Roman" w:cs="Times New Roman" w:eastAsia="Times New Roman" w:hAnsi="Times New Roman"/>
          <w:sz w:val="15"/>
          <w:szCs w:val="15"/>
          <w:i w:val="1"/>
          <w:iCs w:val="1"/>
          <w:color w:val="auto"/>
        </w:rPr>
        <w:t>Accrued Expenses</w:t>
      </w:r>
      <w:r>
        <w:rPr>
          <w:rFonts w:ascii="Times New Roman" w:cs="Times New Roman" w:eastAsia="Times New Roman" w:hAnsi="Times New Roman"/>
          <w:sz w:val="15"/>
          <w:szCs w:val="15"/>
          <w:color w:val="auto"/>
        </w:rPr>
        <w:t>. As part of the process of preparing our consolidated financial statements, we are required to estimate accrued expenses. This process involves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47" w:lineRule="exact"/>
        <w:rPr>
          <w:sz w:val="20"/>
          <w:szCs w:val="20"/>
          <w:color w:val="auto"/>
        </w:rPr>
      </w:pPr>
    </w:p>
    <w:p>
      <w:pPr>
        <w:ind w:firstLine="402"/>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including personnel costs, allocated facility costs, lab supplies, outside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75" w:lineRule="exact"/>
        <w:rPr>
          <w:sz w:val="20"/>
          <w:szCs w:val="20"/>
          <w:color w:val="auto"/>
        </w:rPr>
      </w:pPr>
    </w:p>
    <w:p>
      <w:pPr>
        <w:ind w:firstLine="402"/>
        <w:spacing w:after="0" w:line="252" w:lineRule="auto"/>
        <w:rPr>
          <w:sz w:val="20"/>
          <w:szCs w:val="20"/>
          <w:color w:val="auto"/>
        </w:rPr>
      </w:pP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Stock-based compensation cost is measured at the grant date based on the fair value of the award and is recognized as expense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6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5"/>
          <w:szCs w:val="15"/>
          <w:b w:val="1"/>
          <w:bCs w:val="1"/>
          <w:i w:val="1"/>
          <w:iCs w:val="1"/>
          <w:color w:val="auto"/>
        </w:rPr>
        <w:t>Quantitative and Qualitative Disclosures About Market Risk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to the nature of our operations, assets and debt, we are not exposed to any significant market risks at December 31, 2024 and 2023.</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5"/>
          <w:szCs w:val="15"/>
          <w:b w:val="1"/>
          <w:bCs w:val="1"/>
          <w:i w:val="1"/>
          <w:iCs w:val="1"/>
          <w:color w:val="auto"/>
        </w:rPr>
        <w:t>Financial Statements and Supplementary Data</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financial statements required by this item are attached to this Annual Report on Form 10-K beginning on Page F-1.</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5"/>
          <w:szCs w:val="15"/>
          <w:b w:val="1"/>
          <w:bCs w:val="1"/>
          <w:i w:val="1"/>
          <w:iCs w:val="1"/>
          <w:color w:val="auto"/>
        </w:rPr>
        <w:t>Changes in and Disagreements with Accountants on Accounting and Financial Disclosure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5"/>
          <w:szCs w:val="15"/>
          <w:b w:val="1"/>
          <w:bCs w:val="1"/>
          <w:i w:val="1"/>
          <w:iCs w:val="1"/>
          <w:color w:val="auto"/>
        </w:rPr>
        <w:t>Controls and Procedures</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(a) Evaluation of Disclosure Controls and Procedures</w:t>
      </w:r>
    </w:p>
    <w:p>
      <w:pPr>
        <w:spacing w:after="0" w:line="203" w:lineRule="exact"/>
        <w:rPr>
          <w:sz w:val="20"/>
          <w:szCs w:val="20"/>
          <w:color w:val="auto"/>
        </w:rPr>
      </w:pPr>
    </w:p>
    <w:p>
      <w:pPr>
        <w:ind w:right="20" w:firstLine="595"/>
        <w:spacing w:after="0" w:line="249" w:lineRule="auto"/>
        <w:rPr>
          <w:sz w:val="20"/>
          <w:szCs w:val="20"/>
          <w:color w:val="auto"/>
        </w:rPr>
      </w:pPr>
      <w:r>
        <w:rPr>
          <w:rFonts w:ascii="Times New Roman" w:cs="Times New Roman" w:eastAsia="Times New Roman" w:hAnsi="Times New Roman"/>
          <w:sz w:val="17"/>
          <w:szCs w:val="17"/>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2024. Our management has concluded, based on their evaluation, that our disclosure controls and procedures were effective as of December 31, 2024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(b) Management’s Annual Report on Internal Control Over Financial Reporting</w:t>
      </w:r>
    </w:p>
    <w:p>
      <w:pPr>
        <w:spacing w:after="0" w:line="203" w:lineRule="exact"/>
        <w:rPr>
          <w:sz w:val="20"/>
          <w:szCs w:val="20"/>
          <w:color w:val="auto"/>
        </w:rPr>
      </w:pPr>
    </w:p>
    <w:p>
      <w:pPr>
        <w:ind w:right="120" w:firstLine="595"/>
        <w:spacing w:after="0" w:line="249" w:lineRule="auto"/>
        <w:rPr>
          <w:sz w:val="20"/>
          <w:szCs w:val="20"/>
          <w:color w:val="auto"/>
        </w:rPr>
      </w:pPr>
      <w:r>
        <w:rPr>
          <w:rFonts w:ascii="Times New Roman" w:cs="Times New Roman" w:eastAsia="Times New Roman" w:hAnsi="Times New Roman"/>
          <w:sz w:val="17"/>
          <w:szCs w:val="17"/>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77" w:lineRule="exact"/>
        <w:rPr>
          <w:sz w:val="20"/>
          <w:szCs w:val="20"/>
          <w:color w:val="auto"/>
        </w:rPr>
      </w:pPr>
    </w:p>
    <w:p>
      <w:pPr>
        <w:ind w:left="1060" w:hanging="465"/>
        <w:spacing w:after="0"/>
        <w:tabs>
          <w:tab w:leader="none" w:pos="10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Pertain to the maintenance of records that in reasonable detail accurately and fairly reflect the transactions and dispositions of the assets of the Company;</w:t>
      </w:r>
    </w:p>
    <w:p>
      <w:pPr>
        <w:spacing w:after="0" w:line="224" w:lineRule="exact"/>
        <w:rPr>
          <w:rFonts w:ascii="Times New Roman" w:cs="Times New Roman" w:eastAsia="Times New Roman" w:hAnsi="Times New Roman"/>
          <w:sz w:val="15"/>
          <w:szCs w:val="15"/>
          <w:color w:val="auto"/>
        </w:rPr>
      </w:pPr>
    </w:p>
    <w:p>
      <w:pPr>
        <w:ind w:right="100" w:firstLine="595"/>
        <w:spacing w:after="0" w:line="255" w:lineRule="auto"/>
        <w:tabs>
          <w:tab w:leader="none" w:pos="106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70" w:lineRule="exact"/>
        <w:rPr>
          <w:rFonts w:ascii="Times New Roman" w:cs="Times New Roman" w:eastAsia="Times New Roman" w:hAnsi="Times New Roman"/>
          <w:sz w:val="17"/>
          <w:szCs w:val="17"/>
          <w:color w:val="auto"/>
        </w:rPr>
      </w:pPr>
    </w:p>
    <w:p>
      <w:pPr>
        <w:ind w:right="80" w:firstLine="595"/>
        <w:spacing w:after="0" w:line="267" w:lineRule="auto"/>
        <w:tabs>
          <w:tab w:leader="none" w:pos="105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its financial statements.</w:t>
      </w:r>
    </w:p>
    <w:p>
      <w:pPr>
        <w:spacing w:after="0" w:line="160" w:lineRule="exact"/>
        <w:rPr>
          <w:sz w:val="20"/>
          <w:szCs w:val="20"/>
          <w:color w:val="auto"/>
        </w:rPr>
      </w:pPr>
    </w:p>
    <w:p>
      <w:pPr>
        <w:jc w:val="both"/>
        <w:ind w:right="280" w:firstLine="595"/>
        <w:spacing w:after="0" w:line="255" w:lineRule="auto"/>
        <w:rPr>
          <w:sz w:val="20"/>
          <w:szCs w:val="20"/>
          <w:color w:val="auto"/>
        </w:rPr>
      </w:pPr>
      <w:r>
        <w:rPr>
          <w:rFonts w:ascii="Times New Roman" w:cs="Times New Roman" w:eastAsia="Times New Roman" w:hAnsi="Times New Roman"/>
          <w:sz w:val="17"/>
          <w:szCs w:val="17"/>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ind w:firstLine="595"/>
        <w:spacing w:after="0" w:line="247" w:lineRule="auto"/>
        <w:rPr>
          <w:sz w:val="20"/>
          <w:szCs w:val="20"/>
          <w:color w:val="auto"/>
        </w:rPr>
      </w:pPr>
      <w:r>
        <w:rPr>
          <w:rFonts w:ascii="Times New Roman" w:cs="Times New Roman" w:eastAsia="Times New Roman" w:hAnsi="Times New Roman"/>
          <w:sz w:val="17"/>
          <w:szCs w:val="17"/>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2024.</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 Changes in Internal Control Over Financial Reporting</w:t>
      </w:r>
    </w:p>
    <w:p>
      <w:pPr>
        <w:spacing w:after="0" w:line="203" w:lineRule="exact"/>
        <w:rPr>
          <w:sz w:val="20"/>
          <w:szCs w:val="20"/>
          <w:color w:val="auto"/>
        </w:rPr>
      </w:pPr>
    </w:p>
    <w:p>
      <w:pPr>
        <w:ind w:right="60" w:firstLine="595"/>
        <w:spacing w:after="0" w:line="267"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fourth quarter of 2024 that has materially affected, or is reasonably likely to materially affect, our internal control over financial reporting.</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5"/>
          <w:szCs w:val="15"/>
          <w:b w:val="1"/>
          <w:bCs w:val="1"/>
          <w:i w:val="1"/>
          <w:i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March 2025 Supplemental Line of Credit</w:t>
      </w:r>
    </w:p>
    <w:p>
      <w:pPr>
        <w:spacing w:after="0" w:line="203"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7"/>
          <w:szCs w:val="17"/>
          <w:color w:val="auto"/>
        </w:rPr>
        <w:t>On March 31, 2025, the Company and Richard E. Uihlein (the “Lender”) entered into a Supplemental Line of Credit Letter Agreement (the “March 2025 Supplemental Credit Agreement”), pursuant to which the Lender shall provide the Company a line of credit of up to $5.0 million (the “March 2025 Supplemental Line of Credit”) to finance the Company’s working capital needs. The Company may draw upon the Supplemental Line of Credit through September 30, 2025.</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w:t>
      </w:r>
    </w:p>
    <w:p>
      <w:pPr>
        <w:spacing w:after="0" w:line="17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In connection with the Supplemental Credit Agreement, the Company agreed to issue the Lender warrants to purchase up to an aggregate of 100,000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74"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7"/>
          <w:szCs w:val="17"/>
          <w:color w:val="auto"/>
        </w:rPr>
        <w:t>The securities referred to in this Item 9B are being issued by the Company to the Lender in reliance upon the exemption from the registration requirements of the Securities Act of 1933, as amended (the “Securities Act”), pursuant to Section 4(a)(2) thereof and Regulation D thereunder. The Company relied, in part, upon representations from the Lender that the Lender is an accredited investor as defined in Regulation D under the Securities Act.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November 2024 Supplemental Line of Credit</w:t>
      </w:r>
    </w:p>
    <w:p>
      <w:pPr>
        <w:spacing w:after="0" w:line="203"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7"/>
          <w:szCs w:val="17"/>
          <w:color w:val="auto"/>
        </w:rPr>
        <w:t>In March 2025, the Company and Richard E. Uihlein entered into an amendment to the November 2024 Supplemental Line of Credit to extend the date by which the Company could draw on the line of credit from March 31, 2025 to May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April 2021 Convertible Promissory Note</w:t>
      </w:r>
    </w:p>
    <w:p>
      <w:pPr>
        <w:spacing w:after="0" w:line="20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In connection with entering into the March 2025 Supplemental Line of Credit, the Company agreed to extend the maturity date of the Convertible Promissory Note dated April 16, 2021 from April 16, 2025 to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Securities Trading Plans of Directors and Executive Officers</w:t>
      </w:r>
    </w:p>
    <w:p>
      <w:pPr>
        <w:spacing w:after="0" w:line="20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No officers or directors, as defined in Rule 16a-1(f), adopted or terminated a “Rule 10b5-1 trading arrangement” or a “non-Rule 10b5-1 trading arrangement,” as defined in Regulation S-K Item 408, during the fiscal quarter ended December 31, 2024.</w:t>
      </w:r>
    </w:p>
    <w:p>
      <w:pPr>
        <w:spacing w:after="0" w:line="1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5"/>
          <w:szCs w:val="15"/>
          <w:b w:val="1"/>
          <w:bCs w:val="1"/>
          <w:color w:val="auto"/>
        </w:rPr>
        <w:t>Disclosure Regarding Foreign Jurisdictions that Prevent Inspections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1" w:lineRule="exact"/>
        <w:rPr>
          <w:sz w:val="20"/>
          <w:szCs w:val="20"/>
          <w:color w:val="auto"/>
        </w:rPr>
      </w:pPr>
    </w:p>
    <w:p>
      <w:pPr>
        <w:ind w:left="1"/>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5"/>
          <w:szCs w:val="15"/>
          <w:b w:val="1"/>
          <w:bCs w:val="1"/>
          <w:i w:val="1"/>
          <w:iCs w:val="1"/>
          <w:color w:val="auto"/>
        </w:rPr>
        <w:t>Directors, Executive Officers and Corporate Governance</w:t>
      </w:r>
    </w:p>
    <w:p>
      <w:pPr>
        <w:spacing w:after="0" w:line="205" w:lineRule="exact"/>
        <w:rPr>
          <w:sz w:val="20"/>
          <w:szCs w:val="20"/>
          <w:color w:val="auto"/>
        </w:rPr>
      </w:pPr>
    </w:p>
    <w:p>
      <w:pPr>
        <w:ind w:left="1" w:right="640" w:firstLine="595"/>
        <w:spacing w:after="0" w:line="335" w:lineRule="auto"/>
        <w:rPr>
          <w:sz w:val="20"/>
          <w:szCs w:val="20"/>
          <w:color w:val="auto"/>
        </w:rPr>
      </w:pPr>
      <w:r>
        <w:rPr>
          <w:rFonts w:ascii="Times New Roman" w:cs="Times New Roman" w:eastAsia="Times New Roman" w:hAnsi="Times New Roman"/>
          <w:sz w:val="15"/>
          <w:szCs w:val="15"/>
          <w:color w:val="auto"/>
        </w:rPr>
        <w:t>Each of our directors is elected annually and holds office until his or her successor has been elected and qualified or until the earlier of his or her death, resignation or removal. Our board of directors currently consists of eleven members, all of whom were elected at our 2024 Annual Meeting of Stockholders.</w:t>
      </w:r>
    </w:p>
    <w:p>
      <w:pPr>
        <w:spacing w:after="0" w:line="114" w:lineRule="exact"/>
        <w:rPr>
          <w:sz w:val="20"/>
          <w:szCs w:val="20"/>
          <w:color w:val="auto"/>
        </w:rPr>
      </w:pPr>
    </w:p>
    <w:p>
      <w:pPr>
        <w:ind w:left="1" w:right="560" w:firstLine="595"/>
        <w:spacing w:after="0" w:line="267" w:lineRule="auto"/>
        <w:rPr>
          <w:sz w:val="20"/>
          <w:szCs w:val="20"/>
          <w:color w:val="auto"/>
        </w:rPr>
      </w:pPr>
      <w:r>
        <w:rPr>
          <w:rFonts w:ascii="Times New Roman" w:cs="Times New Roman" w:eastAsia="Times New Roman" w:hAnsi="Times New Roman"/>
          <w:sz w:val="17"/>
          <w:szCs w:val="17"/>
          <w:color w:val="auto"/>
        </w:rPr>
        <w:t>The following table sets forth certain biographical information about our directors as of February 28, 2025, and the qualifications, experiences and skills considered in determining that each such person should serve as a director.</w:t>
      </w:r>
    </w:p>
    <w:p>
      <w:pPr>
        <w:spacing w:after="0" w:line="156" w:lineRule="exact"/>
        <w:rPr>
          <w:sz w:val="20"/>
          <w:szCs w:val="20"/>
          <w:color w:val="auto"/>
        </w:rPr>
      </w:pPr>
    </w:p>
    <w:tbl>
      <w:tblPr>
        <w:tblLayout w:type="fixed"/>
        <w:tblInd w:w="1" w:type="dxa"/>
        <w:tblCellMar>
          <w:top w:w="0" w:type="dxa"/>
          <w:left w:w="0" w:type="dxa"/>
          <w:bottom w:w="0" w:type="dxa"/>
          <w:right w:w="0" w:type="dxa"/>
        </w:tblCellMar>
      </w:tblPr>
      <w:tr>
        <w:trPr>
          <w:trHeight w:val="224"/>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Director Since</w:t>
            </w:r>
          </w:p>
        </w:tc>
      </w:tr>
      <w:tr>
        <w:trPr>
          <w:trHeight w:val="198"/>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Gilbert F. Amelio, Ph.D. (2)(3)</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81</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40" w:type="dxa"/>
            <w:vAlign w:val="bottom"/>
            <w:tcBorders>
              <w:top w:val="single" w:sz="8" w:color="CCEEFF"/>
            </w:tcBorders>
            <w:shd w:val="clear" w:color="auto" w:fill="CCEEFF"/>
          </w:tcPr>
          <w:p>
            <w:pPr>
              <w:spacing w:after="0"/>
              <w:rPr>
                <w:sz w:val="17"/>
                <w:szCs w:val="17"/>
                <w:color w:val="auto"/>
              </w:rPr>
            </w:pPr>
          </w:p>
        </w:tc>
      </w:tr>
      <w:tr>
        <w:trPr>
          <w:trHeight w:val="198"/>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Benjamin S. Carson, Sr., M.D.</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2023</w:t>
            </w:r>
          </w:p>
        </w:tc>
      </w:tr>
      <w:tr>
        <w:trPr>
          <w:trHeight w:val="198"/>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Kary Eldred (1)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51</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2018</w:t>
            </w:r>
          </w:p>
        </w:tc>
      </w:tr>
      <w:tr>
        <w:trPr>
          <w:trHeight w:val="198"/>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D. Freeman (1)(2)(3)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2011</w:t>
            </w:r>
          </w:p>
        </w:tc>
      </w:tr>
      <w:tr>
        <w:trPr>
          <w:trHeight w:val="198"/>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2017</w:t>
            </w:r>
          </w:p>
        </w:tc>
      </w:tr>
      <w:tr>
        <w:trPr>
          <w:trHeight w:val="198"/>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Gilbert S. Omenn, M.D., Ph.D. (2)</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83</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2014</w:t>
            </w:r>
          </w:p>
        </w:tc>
      </w:tr>
      <w:tr>
        <w:trPr>
          <w:trHeight w:val="198"/>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 Rubin, M.D. (3)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2011</w:t>
            </w:r>
          </w:p>
        </w:tc>
      </w:tr>
      <w:tr>
        <w:trPr>
          <w:trHeight w:val="198"/>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Elissa J. Schwartz, Ph.D. (3)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2020</w:t>
            </w:r>
          </w:p>
        </w:tc>
      </w:tr>
      <w:tr>
        <w:trPr>
          <w:trHeight w:val="198"/>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Harold H. Shlevin, Ph.D.</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2019</w:t>
            </w:r>
          </w:p>
        </w:tc>
      </w:tr>
      <w:tr>
        <w:trPr>
          <w:trHeight w:val="198"/>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Richard E. Uihlein, Chairman</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79</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2017</w:t>
            </w:r>
          </w:p>
        </w:tc>
      </w:tr>
      <w:tr>
        <w:trPr>
          <w:trHeight w:val="198"/>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A. Zordani (1)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180975</wp:posOffset>
            </wp:positionV>
            <wp:extent cx="71691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 cy="15875"/>
                    </a:xfrm>
                    <a:prstGeom prst="rect">
                      <a:avLst/>
                    </a:prstGeom>
                    <a:noFill/>
                  </pic:spPr>
                </pic:pic>
              </a:graphicData>
            </a:graphic>
          </wp:anchor>
        </w:drawing>
      </w:r>
    </w:p>
    <w:p>
      <w:pPr>
        <w:spacing w:after="0" w:line="360" w:lineRule="exact"/>
        <w:rPr>
          <w:sz w:val="20"/>
          <w:szCs w:val="20"/>
          <w:color w:val="auto"/>
        </w:rPr>
      </w:pPr>
    </w:p>
    <w:p>
      <w:pPr>
        <w:ind w:left="441" w:hanging="441"/>
        <w:spacing w:after="0"/>
        <w:tabs>
          <w:tab w:leader="none" w:pos="44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audit committee</w:t>
      </w:r>
    </w:p>
    <w:p>
      <w:pPr>
        <w:spacing w:after="0" w:line="19"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compensation committee</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nominating and governance committee</w:t>
      </w:r>
    </w:p>
    <w:p>
      <w:pPr>
        <w:spacing w:after="0" w:line="183" w:lineRule="exact"/>
        <w:rPr>
          <w:sz w:val="20"/>
          <w:szCs w:val="20"/>
          <w:color w:val="auto"/>
        </w:rPr>
      </w:pPr>
    </w:p>
    <w:p>
      <w:pPr>
        <w:ind w:left="1" w:right="20" w:firstLine="405"/>
        <w:spacing w:after="0" w:line="246" w:lineRule="auto"/>
        <w:rPr>
          <w:sz w:val="20"/>
          <w:szCs w:val="20"/>
          <w:color w:val="auto"/>
        </w:rPr>
      </w:pPr>
      <w:r>
        <w:rPr>
          <w:rFonts w:ascii="Times New Roman" w:cs="Times New Roman" w:eastAsia="Times New Roman" w:hAnsi="Times New Roman"/>
          <w:sz w:val="17"/>
          <w:szCs w:val="17"/>
          <w:i w:val="1"/>
          <w:iCs w:val="1"/>
          <w:color w:val="auto"/>
        </w:rPr>
        <w:t>Gilbert F. Amelio, Ph.D</w:t>
      </w:r>
      <w:r>
        <w:rPr>
          <w:rFonts w:ascii="Times New Roman" w:cs="Times New Roman" w:eastAsia="Times New Roman" w:hAnsi="Times New Roman"/>
          <w:sz w:val="17"/>
          <w:szCs w:val="17"/>
          <w:color w:val="auto"/>
        </w:rPr>
        <w:t>., a director since February 2009, began his career at Bell Labs in Murray Hill, New Jersey. Since January 1, 2012, Dr. Amelio has provided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77" w:lineRule="exact"/>
        <w:rPr>
          <w:sz w:val="20"/>
          <w:szCs w:val="20"/>
          <w:color w:val="auto"/>
        </w:rPr>
      </w:pPr>
    </w:p>
    <w:p>
      <w:pPr>
        <w:ind w:left="1" w:right="20" w:firstLine="405"/>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Dr. Benjamin S. Carson, Sr., </w:t>
      </w:r>
      <w:r>
        <w:rPr>
          <w:rFonts w:ascii="Times New Roman" w:cs="Times New Roman" w:eastAsia="Times New Roman" w:hAnsi="Times New Roman"/>
          <w:sz w:val="17"/>
          <w:szCs w:val="17"/>
          <w:color w:val="auto"/>
        </w:rPr>
        <w:t>a director since 2023, served as the 17th Secretary of the U.S. Department of Housing and Urban Development (“HUD”) from 2017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Dr. Carson is a world-renowned neurosurgeon who prior to serving as HUD Secretary was involved with more than 15,000 surgical procedures and was the recipient of numerous awards, including the Presidential Medal of Freedom, more than 70 honorary doctorate degrees and the Spingarn Medal, the NAACP’s highest honor. Dr. Carson serves on the Board of Directors for D.R. Horton, Inc. (NYSE: DHI), Covenant Logistics Group, Inc. (NASDAQ: CVLG), and Sinclair Broadcast Group, Inc. (NASDAQ: SBGI). In addition, Dr. Carson previously served on the Board of Directors of both The Kellogg Company (NYSE: K) and Costco Wholesale Corporation (NASDAQ: COST). Dr. Carson is the founder and current Chairman of the American Cornerstone Institute. Dr. Carson is on the Board of Directors of the Carson Scholars Fund, an organization he and his wife, Mrs. Candy Carson, founded in 1994. Throughout his distinguished career, Dr. Carson contributed to the field of medicine through the thousands of surgeries he performed and the many leadership positions he held, including serving as Director of the Division of Pediatric Neurosurgery at The Johns Hopkins Medical Institutions from 1984 to 2013 as well a Professor of Neurological Surgery, Oncology, Plastic Surgery, and Pediatrics at The Johns Hopkins Medical Institutions from 1999 to 2013. The Board believes that Dr. Carson’s extensive medical, management, director, leadership, financial, and information security experience make him highly qualified to serve as a member of our Board.</w:t>
      </w:r>
    </w:p>
    <w:p>
      <w:pPr>
        <w:spacing w:after="0" w:line="177" w:lineRule="exact"/>
        <w:rPr>
          <w:sz w:val="20"/>
          <w:szCs w:val="20"/>
          <w:color w:val="auto"/>
        </w:rPr>
      </w:pPr>
    </w:p>
    <w:p>
      <w:pPr>
        <w:ind w:left="1" w:firstLine="405"/>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Kary Eldred, </w:t>
      </w:r>
      <w:r>
        <w:rPr>
          <w:rFonts w:ascii="Times New Roman" w:cs="Times New Roman" w:eastAsia="Times New Roman" w:hAnsi="Times New Roman"/>
          <w:sz w:val="17"/>
          <w:szCs w:val="17"/>
          <w:color w:val="auto"/>
        </w:rPr>
        <w:t>is a director since 2018 and Chief Investment Officer for the Living Stones Foundation since July 2015 and has been an active private equity investor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77" w:lineRule="exact"/>
        <w:rPr>
          <w:sz w:val="20"/>
          <w:szCs w:val="20"/>
          <w:color w:val="auto"/>
        </w:rPr>
      </w:pPr>
    </w:p>
    <w:p>
      <w:pPr>
        <w:ind w:left="1" w:right="20" w:firstLine="405"/>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Kevin D. Freeman, </w:t>
      </w:r>
      <w:r>
        <w:rPr>
          <w:rFonts w:ascii="Times New Roman" w:cs="Times New Roman" w:eastAsia="Times New Roman" w:hAnsi="Times New Roman"/>
          <w:sz w:val="17"/>
          <w:szCs w:val="17"/>
          <w:color w:val="auto"/>
        </w:rPr>
        <w:t>a director since May 2011, holds the Chartered Financial Analyst designation and is Chief Executive Officer of Cross Consulting and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ectPr>
          <w:pgSz w:w="11900" w:h="16838" w:orient="portrait"/>
          <w:cols w:equalWidth="0" w:num="1">
            <w:col w:w="11241"/>
          </w:cols>
          <w:pgMar w:left="319" w:top="115" w:right="339" w:bottom="1440" w:gutter="0" w:footer="0" w:header="0"/>
        </w:sect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4" w:lineRule="exact"/>
        <w:rPr>
          <w:sz w:val="20"/>
          <w:szCs w:val="20"/>
          <w:color w:val="auto"/>
        </w:rPr>
      </w:pPr>
    </w:p>
    <w:p>
      <w:pPr>
        <w:ind w:right="100" w:firstLine="405"/>
        <w:spacing w:after="0" w:line="246" w:lineRule="auto"/>
        <w:rPr>
          <w:sz w:val="20"/>
          <w:szCs w:val="20"/>
          <w:color w:val="auto"/>
        </w:rPr>
      </w:pPr>
      <w:r>
        <w:rPr>
          <w:rFonts w:ascii="Times New Roman" w:cs="Times New Roman" w:eastAsia="Times New Roman" w:hAnsi="Times New Roman"/>
          <w:sz w:val="17"/>
          <w:szCs w:val="17"/>
          <w:i w:val="1"/>
          <w:iCs w:val="1"/>
          <w:color w:val="auto"/>
        </w:rPr>
        <w:t>Joel Lewis</w:t>
      </w:r>
      <w:r>
        <w:rPr>
          <w:rFonts w:ascii="Times New Roman" w:cs="Times New Roman" w:eastAsia="Times New Roman" w:hAnsi="Times New Roman"/>
          <w:sz w:val="17"/>
          <w:szCs w:val="17"/>
          <w:color w:val="auto"/>
        </w:rPr>
        <w:t>, a director since 2017, became our President and Chief Executive Officer on September 2, 2020. Previously, he was the Managing Director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81" w:lineRule="exact"/>
        <w:rPr>
          <w:sz w:val="20"/>
          <w:szCs w:val="20"/>
          <w:color w:val="auto"/>
        </w:rPr>
      </w:pPr>
    </w:p>
    <w:p>
      <w:pPr>
        <w:ind w:firstLine="405"/>
        <w:spacing w:after="0" w:line="283" w:lineRule="auto"/>
        <w:rPr>
          <w:sz w:val="20"/>
          <w:szCs w:val="20"/>
          <w:color w:val="auto"/>
        </w:rPr>
      </w:pPr>
      <w:r>
        <w:rPr>
          <w:rFonts w:ascii="Times New Roman" w:cs="Times New Roman" w:eastAsia="Times New Roman" w:hAnsi="Times New Roman"/>
          <w:sz w:val="15"/>
          <w:szCs w:val="15"/>
          <w:i w:val="1"/>
          <w:iCs w:val="1"/>
          <w:color w:val="auto"/>
        </w:rPr>
        <w:t>Gilbert S. Omenn, M.D., Ph.D.</w:t>
      </w:r>
      <w:r>
        <w:rPr>
          <w:rFonts w:ascii="Times New Roman" w:cs="Times New Roman" w:eastAsia="Times New Roman" w:hAnsi="Times New Roman"/>
          <w:sz w:val="15"/>
          <w:szCs w:val="15"/>
          <w:color w:val="auto"/>
        </w:rPr>
        <w:t>, a director since September 2014, served on the board of directors of Amgen Inc. for 27 years and of Rohm &amp; Haas Company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352"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5"/>
          <w:szCs w:val="15"/>
          <w:i w:val="1"/>
          <w:iCs w:val="1"/>
          <w:color w:val="auto"/>
        </w:rPr>
        <w:t xml:space="preserve">Marc Rubin, M.D, </w:t>
      </w:r>
      <w:r>
        <w:rPr>
          <w:rFonts w:ascii="Times New Roman" w:cs="Times New Roman" w:eastAsia="Times New Roman" w:hAnsi="Times New Roman"/>
          <w:sz w:val="15"/>
          <w:szCs w:val="15"/>
          <w:color w:val="auto"/>
        </w:rPr>
        <w:t>a director since October 2011 and Chairman of the Board from January 2016 through May 2018, is Executive Chairman of the Board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355"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Elissa J. Schwartz, Ph.D., </w:t>
      </w:r>
      <w:r>
        <w:rPr>
          <w:rFonts w:ascii="Times New Roman" w:cs="Times New Roman" w:eastAsia="Times New Roman" w:hAnsi="Times New Roman"/>
          <w:sz w:val="17"/>
          <w:szCs w:val="17"/>
          <w:color w:val="auto"/>
        </w:rPr>
        <w:t>a director appointed by the board in September 2020, is a disease modeler who is currently a professor of biological sciences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181"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7"/>
          <w:szCs w:val="17"/>
          <w:i w:val="1"/>
          <w:iCs w:val="1"/>
          <w:color w:val="auto"/>
        </w:rPr>
        <w:t>Harold Shlevin, Ph.D.</w:t>
      </w:r>
      <w:r>
        <w:rPr>
          <w:rFonts w:ascii="Times New Roman" w:cs="Times New Roman" w:eastAsia="Times New Roman" w:hAnsi="Times New Roman"/>
          <w:sz w:val="17"/>
          <w:szCs w:val="17"/>
          <w:color w:val="auto"/>
        </w:rPr>
        <w:t>, retired from being our President and Chief Executive Officer on September 2, 2020, a position he had held since June 14, 2018; however,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Dr. Shlevin currently serves on the Board of Directors of Moonlight Therapeutics. We believe Dr. Shlevin’s qualifications to sit on our Board of Directors include his extensive executive leadership and management experience in the pharmaceutical industry.</w:t>
      </w:r>
    </w:p>
    <w:p>
      <w:pPr>
        <w:spacing w:after="0" w:line="182"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7"/>
          <w:szCs w:val="17"/>
          <w:i w:val="1"/>
          <w:iCs w:val="1"/>
          <w:color w:val="auto"/>
        </w:rPr>
        <w:t>Richard E. Uihlein</w:t>
      </w:r>
      <w:r>
        <w:rPr>
          <w:rFonts w:ascii="Times New Roman" w:cs="Times New Roman" w:eastAsia="Times New Roman" w:hAnsi="Times New Roman"/>
          <w:sz w:val="17"/>
          <w:szCs w:val="17"/>
          <w:color w:val="auto"/>
        </w:rPr>
        <w:t>, a director since 2017 and Chairman since May 2018, co-founded Uline, Inc. (a leading distributor of shipping, packaging and industrial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4" w:lineRule="exact"/>
        <w:rPr>
          <w:sz w:val="20"/>
          <w:szCs w:val="20"/>
          <w:color w:val="auto"/>
        </w:rPr>
      </w:pPr>
    </w:p>
    <w:p>
      <w:pPr>
        <w:ind w:right="80" w:firstLine="405"/>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Richard A. Zordani, </w:t>
      </w:r>
      <w:r>
        <w:rPr>
          <w:rFonts w:ascii="Times New Roman" w:cs="Times New Roman" w:eastAsia="Times New Roman" w:hAnsi="Times New Roman"/>
          <w:sz w:val="17"/>
          <w:szCs w:val="17"/>
          <w:color w:val="auto"/>
        </w:rPr>
        <w:t>a director appointed by the board in September 2020, has been the Director of Shareholder Services at Uline, Inc. (a distributor of shipping,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05" w:lineRule="exact"/>
        <w:rPr>
          <w:sz w:val="20"/>
          <w:szCs w:val="20"/>
          <w:color w:val="auto"/>
        </w:rPr>
      </w:pPr>
    </w:p>
    <w:p>
      <w:pPr>
        <w:jc w:val="both"/>
        <w:ind w:right="720" w:firstLine="595"/>
        <w:spacing w:after="0" w:line="255" w:lineRule="auto"/>
        <w:rPr>
          <w:sz w:val="20"/>
          <w:szCs w:val="20"/>
          <w:color w:val="auto"/>
        </w:rPr>
      </w:pPr>
      <w:r>
        <w:rPr>
          <w:rFonts w:ascii="Times New Roman" w:cs="Times New Roman" w:eastAsia="Times New Roman" w:hAnsi="Times New Roman"/>
          <w:sz w:val="17"/>
          <w:szCs w:val="17"/>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Hedging Policy</w:t>
      </w:r>
    </w:p>
    <w:p>
      <w:pPr>
        <w:spacing w:after="0" w:line="205" w:lineRule="exact"/>
        <w:rPr>
          <w:sz w:val="20"/>
          <w:szCs w:val="20"/>
          <w:color w:val="auto"/>
        </w:rPr>
      </w:pPr>
    </w:p>
    <w:p>
      <w:pPr>
        <w:jc w:val="both"/>
        <w:ind w:right="440" w:firstLine="595"/>
        <w:spacing w:after="0" w:line="255" w:lineRule="auto"/>
        <w:rPr>
          <w:sz w:val="20"/>
          <w:szCs w:val="20"/>
          <w:color w:val="auto"/>
        </w:rPr>
      </w:pPr>
      <w:r>
        <w:rPr>
          <w:rFonts w:ascii="Times New Roman" w:cs="Times New Roman" w:eastAsia="Times New Roman" w:hAnsi="Times New Roman"/>
          <w:sz w:val="17"/>
          <w:szCs w:val="17"/>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205" w:lineRule="exact"/>
        <w:rPr>
          <w:sz w:val="20"/>
          <w:szCs w:val="20"/>
          <w:color w:val="auto"/>
        </w:rPr>
      </w:pPr>
    </w:p>
    <w:p>
      <w:pPr>
        <w:ind w:right="120" w:firstLine="595"/>
        <w:spacing w:after="0" w:line="286" w:lineRule="auto"/>
        <w:rPr>
          <w:sz w:val="20"/>
          <w:szCs w:val="20"/>
          <w:color w:val="auto"/>
        </w:rPr>
      </w:pPr>
      <w:r>
        <w:rPr>
          <w:rFonts w:ascii="Times New Roman" w:cs="Times New Roman" w:eastAsia="Times New Roman" w:hAnsi="Times New Roman"/>
          <w:sz w:val="15"/>
          <w:szCs w:val="15"/>
          <w:color w:val="auto"/>
        </w:rPr>
        <w:t>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Company may not indemnify any such covered officer against the loss of such recovered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05" w:lineRule="exact"/>
        <w:rPr>
          <w:sz w:val="20"/>
          <w:szCs w:val="20"/>
          <w:color w:val="auto"/>
        </w:rPr>
      </w:pPr>
    </w:p>
    <w:p>
      <w:pPr>
        <w:ind w:right="200" w:firstLine="298"/>
        <w:spacing w:after="0" w:line="249" w:lineRule="auto"/>
        <w:rPr>
          <w:sz w:val="20"/>
          <w:szCs w:val="20"/>
          <w:color w:val="auto"/>
        </w:rPr>
      </w:pPr>
      <w:r>
        <w:rPr>
          <w:rFonts w:ascii="Times New Roman" w:cs="Times New Roman" w:eastAsia="Times New Roman" w:hAnsi="Times New Roman"/>
          <w:sz w:val="17"/>
          <w:szCs w:val="17"/>
          <w:color w:val="auto"/>
        </w:rPr>
        <w:t>The Company has an Insider Trading Policy is applicable to the Company’s directors, officers, and all employees of the Company. The Insider Trading Policy governs the purchase, sale, and/or other dispositions of the Company’s securities and prohibits purchasing or selling any securities of the Company while a person covered by the Insider Trading Policy is aware of material, non-public information concerning the Company. The Company believes that its Insider Trading Policy is reasonably designed to promote compliance with insider trading laws, rules and regulations, and the exchange listing standards of the Nasdaq Stock Market. A copy of the Company’s Insider Trading Policy is filed with the SEC as an exhibit to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Grant Policy and Procedures</w:t>
      </w:r>
    </w:p>
    <w:p>
      <w:pPr>
        <w:spacing w:after="0" w:line="205" w:lineRule="exact"/>
        <w:rPr>
          <w:sz w:val="20"/>
          <w:szCs w:val="20"/>
          <w:color w:val="auto"/>
        </w:rPr>
      </w:pPr>
    </w:p>
    <w:p>
      <w:pPr>
        <w:ind w:right="60" w:firstLine="298"/>
        <w:spacing w:after="0" w:line="248" w:lineRule="auto"/>
        <w:rPr>
          <w:sz w:val="20"/>
          <w:szCs w:val="20"/>
          <w:color w:val="auto"/>
        </w:rPr>
      </w:pPr>
      <w:r>
        <w:rPr>
          <w:rFonts w:ascii="Times New Roman" w:cs="Times New Roman" w:eastAsia="Times New Roman" w:hAnsi="Times New Roman"/>
          <w:sz w:val="17"/>
          <w:szCs w:val="17"/>
          <w:color w:val="auto"/>
        </w:rPr>
        <w:t>The Company’s policy is to grant stock options and other similar awards in the ordinary course of business in connection with our annual compensation program, hiring new employees, and in recognition of the retention or promotion of employees from time to time. The Company does not grant stock options or similar awards in anticipation of the release of material nonpublic information, such as a significant positive or negative earnings announcement, and does not time the public release of such information based on stock option grant dates. In addition, it is the Company’s policy to not grant stock options or similar awards during at any time during the four business days prior to or the one business day following the filing of the Company’s periodic reports or the filing or furnishing of a Form 8-K that discloses material nonpublic information (each, a “Filing Window”).</w:t>
      </w:r>
    </w:p>
    <w:p>
      <w:pPr>
        <w:spacing w:after="0" w:line="177" w:lineRule="exact"/>
        <w:rPr>
          <w:sz w:val="20"/>
          <w:szCs w:val="20"/>
          <w:color w:val="auto"/>
        </w:rPr>
      </w:pPr>
    </w:p>
    <w:p>
      <w:pPr>
        <w:jc w:val="both"/>
        <w:ind w:right="100" w:firstLine="298"/>
        <w:spacing w:after="0" w:line="305" w:lineRule="auto"/>
        <w:rPr>
          <w:sz w:val="20"/>
          <w:szCs w:val="20"/>
          <w:color w:val="auto"/>
        </w:rPr>
      </w:pPr>
      <w:r>
        <w:rPr>
          <w:rFonts w:ascii="Times New Roman" w:cs="Times New Roman" w:eastAsia="Times New Roman" w:hAnsi="Times New Roman"/>
          <w:sz w:val="15"/>
          <w:szCs w:val="15"/>
          <w:color w:val="auto"/>
        </w:rPr>
        <w:t>Under the Company’s current practices, executive officers do not choose or have influence over the grant date for their individual stock option grants. Stock option grants to the Company’s executive officers are generally approved annually at a meeting of the Company’s Compensation Committee that is held during the first quarter of each year, and the grants are generally effective immediately after the meeting on which the grants are eligible to be made under our grant policies discussed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material changes have been made to the procedures by which security holders may recommend nominees to our board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05" w:lineRule="exact"/>
        <w:rPr>
          <w:sz w:val="20"/>
          <w:szCs w:val="20"/>
          <w:color w:val="auto"/>
        </w:rPr>
      </w:pPr>
    </w:p>
    <w:p>
      <w:pPr>
        <w:ind w:right="20" w:firstLine="595"/>
        <w:spacing w:after="0" w:line="247" w:lineRule="auto"/>
        <w:rPr>
          <w:sz w:val="20"/>
          <w:szCs w:val="20"/>
          <w:color w:val="auto"/>
        </w:rPr>
      </w:pPr>
      <w:r>
        <w:rPr>
          <w:rFonts w:ascii="Times New Roman" w:cs="Times New Roman" w:eastAsia="Times New Roman" w:hAnsi="Times New Roman"/>
          <w:sz w:val="17"/>
          <w:szCs w:val="17"/>
          <w:color w:val="auto"/>
        </w:rPr>
        <w:t>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w:t>
      </w:r>
    </w:p>
    <w:p>
      <w:pPr>
        <w:spacing w:after="0" w:line="205" w:lineRule="exact"/>
        <w:rPr>
          <w:sz w:val="20"/>
          <w:szCs w:val="20"/>
          <w:color w:val="auto"/>
        </w:rPr>
      </w:pPr>
    </w:p>
    <w:p>
      <w:pPr>
        <w:ind w:right="240" w:firstLine="595"/>
        <w:spacing w:after="0" w:line="248" w:lineRule="auto"/>
        <w:rPr>
          <w:sz w:val="20"/>
          <w:szCs w:val="20"/>
          <w:color w:val="auto"/>
        </w:rPr>
      </w:pPr>
      <w:r>
        <w:rPr>
          <w:rFonts w:ascii="Times New Roman" w:cs="Times New Roman" w:eastAsia="Times New Roman" w:hAnsi="Times New Roman"/>
          <w:sz w:val="17"/>
          <w:szCs w:val="17"/>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77" w:lineRule="exact"/>
        <w:rPr>
          <w:sz w:val="20"/>
          <w:szCs w:val="20"/>
          <w:color w:val="auto"/>
        </w:rPr>
      </w:pPr>
    </w:p>
    <w:p>
      <w:pPr>
        <w:ind w:right="380" w:firstLine="595"/>
        <w:spacing w:after="0" w:line="267" w:lineRule="auto"/>
        <w:rPr>
          <w:sz w:val="20"/>
          <w:szCs w:val="20"/>
          <w:color w:val="auto"/>
        </w:rPr>
      </w:pPr>
      <w:r>
        <w:rPr>
          <w:rFonts w:ascii="Times New Roman" w:cs="Times New Roman" w:eastAsia="Times New Roman" w:hAnsi="Times New Roman"/>
          <w:sz w:val="17"/>
          <w:szCs w:val="17"/>
          <w:color w:val="auto"/>
        </w:rPr>
        <w:t>We believe that any risks arising from our policies and programs are not reasonably likely to have a material adverse effect on the Company. Our programs reflect sound risk management practices including:</w:t>
      </w:r>
    </w:p>
    <w:p>
      <w:pPr>
        <w:spacing w:after="0" w:line="160" w:lineRule="exact"/>
        <w:rPr>
          <w:sz w:val="20"/>
          <w:szCs w:val="20"/>
          <w:color w:val="auto"/>
        </w:rPr>
      </w:pPr>
    </w:p>
    <w:p>
      <w:pPr>
        <w:ind w:left="780" w:hanging="446"/>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multiple compensation vehicles that provide a balance of long- and short-term incentives with fixed and variable components; and</w:t>
      </w:r>
    </w:p>
    <w:p>
      <w:pPr>
        <w:spacing w:after="0" w:line="201" w:lineRule="exact"/>
        <w:rPr>
          <w:rFonts w:ascii="Times New Roman" w:cs="Times New Roman" w:eastAsia="Times New Roman" w:hAnsi="Times New Roman"/>
          <w:sz w:val="17"/>
          <w:szCs w:val="17"/>
          <w:color w:val="auto"/>
        </w:rPr>
      </w:pPr>
    </w:p>
    <w:p>
      <w:pPr>
        <w:jc w:val="both"/>
        <w:ind w:left="780" w:hanging="446"/>
        <w:spacing w:after="0" w:line="335" w:lineRule="auto"/>
        <w:tabs>
          <w:tab w:leader="none" w:pos="7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w:t>
      </w:r>
    </w:p>
    <w:p>
      <w:pPr>
        <w:sectPr>
          <w:pgSz w:w="11900" w:h="16838" w:orient="portrait"/>
          <w:cols w:equalWidth="0" w:num="1">
            <w:col w:w="11240"/>
          </w:cols>
          <w:pgMar w:left="320" w:top="115" w:right="3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over the long-term.</w:t>
      </w:r>
    </w:p>
    <w:p>
      <w:pPr>
        <w:spacing w:after="0" w:line="37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36195</wp:posOffset>
            </wp:positionV>
            <wp:extent cx="71437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9359"/>
          </w:cols>
          <w:pgMar w:left="1100" w:top="12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Joel Lewis</w:t>
      </w:r>
      <w:r>
        <w:rPr>
          <w:rFonts w:ascii="Times New Roman" w:cs="Times New Roman" w:eastAsia="Times New Roman" w:hAnsi="Times New Roman"/>
          <w:sz w:val="17"/>
          <w:szCs w:val="17"/>
          <w:color w:val="auto"/>
        </w:rPr>
        <w:t>, see above under directors.</w:t>
      </w:r>
    </w:p>
    <w:p>
      <w:pPr>
        <w:spacing w:after="0" w:line="201" w:lineRule="exact"/>
        <w:rPr>
          <w:sz w:val="20"/>
          <w:szCs w:val="20"/>
          <w:color w:val="auto"/>
        </w:rPr>
      </w:pPr>
    </w:p>
    <w:p>
      <w:pPr>
        <w:ind w:firstLine="331"/>
        <w:spacing w:after="0" w:line="247" w:lineRule="auto"/>
        <w:rPr>
          <w:sz w:val="20"/>
          <w:szCs w:val="20"/>
          <w:color w:val="auto"/>
        </w:rPr>
      </w:pPr>
      <w:r>
        <w:rPr>
          <w:rFonts w:ascii="Times New Roman" w:cs="Times New Roman" w:eastAsia="Times New Roman" w:hAnsi="Times New Roman"/>
          <w:sz w:val="17"/>
          <w:szCs w:val="17"/>
          <w:i w:val="1"/>
          <w:iCs w:val="1"/>
          <w:color w:val="auto"/>
        </w:rPr>
        <w:t>Khurram Jamil, M.D</w:t>
      </w:r>
      <w:r>
        <w:rPr>
          <w:rFonts w:ascii="Times New Roman" w:cs="Times New Roman" w:eastAsia="Times New Roman" w:hAnsi="Times New Roman"/>
          <w:sz w:val="17"/>
          <w:szCs w:val="17"/>
          <w:color w:val="auto"/>
        </w:rPr>
        <w:t>. age 49, become the Company’s Chief Medical Officer on August 1, 2024 after joining the Company as vice president of clinical development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March 2024. Prior to joining the Company, Dr. Jamil was employed at Mallinckrodt Pharmaceuticals from July 2015 to February 2024, where he was Vice President Hepatology and led the development teams that achieved approval of two compounds in the U.S. and Japan, conducted trials in liver cirrhosis and its complications, and designed and executed the largest trial in Hepatorenal Syndrome. Earlier in his career he held positions in medical affairs in Ikaria Inc and Organon Pharmaceuticals USA where he led successful launches of first-in-class therapies and developed strategies to assess disease burden, cost-effectiveness, and value proposition of approved drugs in new therapeutic areas. He holds 7 patents, has given over 95 poster and oral presentations and published over 40 manuscripts, including in the prestigious New England Journal of Medicine. Dr. Jamil is board certified in General Surgery. He completed his residency in Seaton Hall University, NJ, and earned his M.B.B.S. from King Edward Medical University at Lahore, Pakistan.</w:t>
      </w:r>
    </w:p>
    <w:p>
      <w:pPr>
        <w:spacing w:after="0" w:line="177" w:lineRule="exact"/>
        <w:rPr>
          <w:sz w:val="20"/>
          <w:szCs w:val="20"/>
          <w:color w:val="auto"/>
        </w:rPr>
      </w:pPr>
    </w:p>
    <w:p>
      <w:pPr>
        <w:ind w:right="40" w:firstLine="405"/>
        <w:spacing w:after="0" w:line="248" w:lineRule="auto"/>
        <w:rPr>
          <w:sz w:val="20"/>
          <w:szCs w:val="20"/>
          <w:color w:val="auto"/>
        </w:rPr>
      </w:pPr>
      <w:r>
        <w:rPr>
          <w:rFonts w:ascii="Times New Roman" w:cs="Times New Roman" w:eastAsia="Times New Roman" w:hAnsi="Times New Roman"/>
          <w:sz w:val="17"/>
          <w:szCs w:val="17"/>
          <w:i w:val="1"/>
          <w:iCs w:val="1"/>
          <w:color w:val="auto"/>
        </w:rPr>
        <w:t>Jack W. Callicutt</w:t>
      </w:r>
      <w:r>
        <w:rPr>
          <w:rFonts w:ascii="Times New Roman" w:cs="Times New Roman" w:eastAsia="Times New Roman" w:hAnsi="Times New Roman"/>
          <w:sz w:val="17"/>
          <w:szCs w:val="17"/>
          <w:color w:val="auto"/>
        </w:rPr>
        <w:t>, age 57, became our Chief Financial Officer on July 1, 2013. From August 2011 through June 2012, Mr. Callicutt was the Chief Financial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 of the directors, executive officers and significant employees share any familial relationship.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16(a) Beneficial Ownership Reporting Compliance</w:t>
      </w:r>
    </w:p>
    <w:p>
      <w:pPr>
        <w:spacing w:after="0" w:line="205"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color w:val="auto"/>
        </w:rPr>
        <w:t>Section 16(a) of the Exchange Act requires our officers and directors, and persons who beneficially own more than ten percent of our common stock, to file reports of ownership and changes of ownership of such securities with the SEC. All reports were filed timely during the fiscal year ended December 31, 2024.</w:t>
      </w:r>
    </w:p>
    <w:p>
      <w:pPr>
        <w:spacing w:after="0" w:line="1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5"/>
          <w:szCs w:val="15"/>
          <w:b w:val="1"/>
          <w:bCs w:val="1"/>
          <w:i w:val="1"/>
          <w:iCs w:val="1"/>
          <w:color w:val="auto"/>
        </w:rPr>
        <w:t>Executive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PHILOSOPHY DISCUSSION</w:t>
      </w:r>
    </w:p>
    <w:p>
      <w:pPr>
        <w:spacing w:after="0" w:line="205" w:lineRule="exact"/>
        <w:rPr>
          <w:sz w:val="20"/>
          <w:szCs w:val="20"/>
          <w:color w:val="auto"/>
        </w:rPr>
      </w:pPr>
    </w:p>
    <w:p>
      <w:pPr>
        <w:ind w:right="180" w:firstLine="595"/>
        <w:spacing w:after="0" w:line="249" w:lineRule="auto"/>
        <w:rPr>
          <w:sz w:val="20"/>
          <w:szCs w:val="20"/>
          <w:color w:val="auto"/>
        </w:rPr>
      </w:pPr>
      <w:r>
        <w:rPr>
          <w:rFonts w:ascii="Times New Roman" w:cs="Times New Roman" w:eastAsia="Times New Roman" w:hAnsi="Times New Roman"/>
          <w:sz w:val="17"/>
          <w:szCs w:val="17"/>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2024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5160" w:type="dxa"/>
            <w:vAlign w:val="bottom"/>
          </w:tcPr>
          <w:p>
            <w:pPr>
              <w:ind w:left="242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198"/>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540" w:type="dxa"/>
            <w:vAlign w:val="bottom"/>
            <w:tcBorders>
              <w:top w:val="single" w:sz="8" w:color="CCEEFF"/>
            </w:tcBorders>
            <w:shd w:val="clear" w:color="auto" w:fill="CCEEFF"/>
          </w:tcPr>
          <w:p>
            <w:pPr>
              <w:spacing w:after="0"/>
              <w:rPr>
                <w:sz w:val="17"/>
                <w:szCs w:val="17"/>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President</w:t>
            </w:r>
          </w:p>
        </w:tc>
      </w:tr>
      <w:tr>
        <w:trPr>
          <w:trHeight w:val="198"/>
        </w:trPr>
        <w:tc>
          <w:tcPr>
            <w:tcW w:w="6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Khurram Jamil, M.D.</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Chief Medical Officer</w:t>
            </w:r>
          </w:p>
        </w:tc>
      </w:tr>
      <w:tr>
        <w:trPr>
          <w:trHeight w:val="198"/>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397"/>
        </w:trPr>
        <w:tc>
          <w:tcPr>
            <w:tcW w:w="6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Compensation Philosophy</w:t>
            </w:r>
          </w:p>
        </w:tc>
        <w:tc>
          <w:tcPr>
            <w:tcW w:w="5160" w:type="dxa"/>
            <w:vAlign w:val="bottom"/>
          </w:tcPr>
          <w:p>
            <w:pPr>
              <w:spacing w:after="0"/>
              <w:rPr>
                <w:sz w:val="24"/>
                <w:szCs w:val="24"/>
                <w:color w:val="auto"/>
              </w:rPr>
            </w:pPr>
          </w:p>
        </w:tc>
      </w:tr>
    </w:tbl>
    <w:p>
      <w:pPr>
        <w:spacing w:after="0" w:line="182" w:lineRule="exact"/>
        <w:rPr>
          <w:sz w:val="20"/>
          <w:szCs w:val="20"/>
          <w:color w:val="auto"/>
        </w:rPr>
      </w:pPr>
    </w:p>
    <w:p>
      <w:pPr>
        <w:ind w:right="460" w:firstLine="595"/>
        <w:spacing w:after="0" w:line="267" w:lineRule="auto"/>
        <w:rPr>
          <w:sz w:val="20"/>
          <w:szCs w:val="20"/>
          <w:color w:val="auto"/>
        </w:rPr>
      </w:pPr>
      <w:r>
        <w:rPr>
          <w:rFonts w:ascii="Times New Roman" w:cs="Times New Roman" w:eastAsia="Times New Roman" w:hAnsi="Times New Roman"/>
          <w:sz w:val="17"/>
          <w:szCs w:val="17"/>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160" w:lineRule="exact"/>
        <w:rPr>
          <w:sz w:val="20"/>
          <w:szCs w:val="20"/>
          <w:color w:val="auto"/>
        </w:rPr>
      </w:pPr>
    </w:p>
    <w:p>
      <w:pPr>
        <w:ind w:left="780" w:hanging="446"/>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competitive compensation that will help attract, retain and reward qualified executives;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executives’ interests with our success by making a portion of the executive’s compensation dependent upon corporate performance; and</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executives’ interests with the interests of stockholders by including long-term equity incentives.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right="120" w:firstLine="595"/>
        <w:spacing w:after="0" w:line="295" w:lineRule="auto"/>
        <w:rPr>
          <w:sz w:val="20"/>
          <w:szCs w:val="20"/>
          <w:color w:val="auto"/>
        </w:rPr>
      </w:pPr>
      <w:r>
        <w:rPr>
          <w:rFonts w:ascii="Times New Roman" w:cs="Times New Roman" w:eastAsia="Times New Roman" w:hAnsi="Times New Roman"/>
          <w:sz w:val="15"/>
          <w:szCs w:val="15"/>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 Review and Design</w:t>
      </w:r>
    </w:p>
    <w:p>
      <w:pPr>
        <w:spacing w:after="0" w:line="205" w:lineRule="exact"/>
        <w:rPr>
          <w:sz w:val="20"/>
          <w:szCs w:val="20"/>
          <w:color w:val="auto"/>
        </w:rPr>
      </w:pPr>
    </w:p>
    <w:p>
      <w:pPr>
        <w:jc w:val="both"/>
        <w:ind w:right="20" w:firstLine="595"/>
        <w:spacing w:after="0" w:line="255" w:lineRule="auto"/>
        <w:rPr>
          <w:sz w:val="20"/>
          <w:szCs w:val="20"/>
          <w:color w:val="auto"/>
        </w:rPr>
      </w:pPr>
      <w:r>
        <w:rPr>
          <w:rFonts w:ascii="Times New Roman" w:cs="Times New Roman" w:eastAsia="Times New Roman" w:hAnsi="Times New Roman"/>
          <w:sz w:val="17"/>
          <w:szCs w:val="17"/>
          <w:color w:val="auto"/>
        </w:rPr>
        <w:t>The Company has historically conducted a review of the a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71" w:lineRule="exact"/>
        <w:rPr>
          <w:sz w:val="20"/>
          <w:szCs w:val="20"/>
          <w:color w:val="auto"/>
        </w:rPr>
      </w:pPr>
    </w:p>
    <w:p>
      <w:pPr>
        <w:ind w:firstLine="595"/>
        <w:spacing w:after="0" w:line="249" w:lineRule="auto"/>
        <w:rPr>
          <w:sz w:val="20"/>
          <w:szCs w:val="20"/>
          <w:color w:val="auto"/>
        </w:rPr>
      </w:pPr>
      <w:r>
        <w:rPr>
          <w:rFonts w:ascii="Times New Roman" w:cs="Times New Roman" w:eastAsia="Times New Roman" w:hAnsi="Times New Roman"/>
          <w:sz w:val="17"/>
          <w:szCs w:val="17"/>
          <w:color w:val="auto"/>
        </w:rPr>
        <w:t>At our last “Say-on-Pay vote” held at our 2022 annual meeting of stockholders approximately 90% of votes cast were in favor of the compensation of our NEOs, as disclosed in the proxy materials for the 2022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2025 annual meeting of stockholders.</w:t>
      </w:r>
    </w:p>
    <w:p>
      <w:pPr>
        <w:spacing w:after="0" w:line="177" w:lineRule="exact"/>
        <w:rPr>
          <w:sz w:val="20"/>
          <w:szCs w:val="20"/>
          <w:color w:val="auto"/>
        </w:rPr>
      </w:pPr>
    </w:p>
    <w:p>
      <w:pPr>
        <w:ind w:firstLine="595"/>
        <w:spacing w:after="0" w:line="227" w:lineRule="auto"/>
        <w:rPr>
          <w:sz w:val="20"/>
          <w:szCs w:val="20"/>
          <w:color w:val="auto"/>
        </w:rPr>
      </w:pPr>
      <w:r>
        <w:rPr>
          <w:rFonts w:ascii="Times New Roman" w:cs="Times New Roman" w:eastAsia="Times New Roman" w:hAnsi="Times New Roman"/>
          <w:sz w:val="17"/>
          <w:szCs w:val="17"/>
          <w:color w:val="auto"/>
        </w:rPr>
        <w:t>Several years ago,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percentile of the total compensation of our competitor companies. These findings continued to inform the Compensation Committee’s decisions on compensation in subsequent years, including 2024.</w:t>
      </w:r>
    </w:p>
    <w:p>
      <w:pPr>
        <w:spacing w:after="0" w:line="185" w:lineRule="exact"/>
        <w:rPr>
          <w:sz w:val="20"/>
          <w:szCs w:val="20"/>
          <w:color w:val="auto"/>
        </w:rPr>
      </w:pPr>
    </w:p>
    <w:p>
      <w:pPr>
        <w:ind w:right="40" w:firstLine="595"/>
        <w:spacing w:after="0" w:line="216" w:lineRule="auto"/>
        <w:rPr>
          <w:sz w:val="20"/>
          <w:szCs w:val="20"/>
          <w:color w:val="auto"/>
        </w:rPr>
      </w:pPr>
      <w:r>
        <w:rPr>
          <w:rFonts w:ascii="Times New Roman" w:cs="Times New Roman" w:eastAsia="Times New Roman" w:hAnsi="Times New Roman"/>
          <w:sz w:val="17"/>
          <w:szCs w:val="17"/>
          <w:color w:val="auto"/>
        </w:rPr>
        <w:t>The Compensation Committee may use a compensation consultant in the future and will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Executive Compensation</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compensation program for the Company’s NEOs consists principally of three components:</w:t>
      </w:r>
    </w:p>
    <w:p>
      <w:pPr>
        <w:spacing w:after="0" w:line="201" w:lineRule="exact"/>
        <w:rPr>
          <w:sz w:val="20"/>
          <w:szCs w:val="20"/>
          <w:color w:val="auto"/>
        </w:rPr>
      </w:pPr>
    </w:p>
    <w:p>
      <w:pPr>
        <w:ind w:left="780" w:hanging="446"/>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and retention bonuses;</w:t>
      </w:r>
    </w:p>
    <w:p>
      <w:pPr>
        <w:spacing w:after="0" w:line="201" w:lineRule="exact"/>
        <w:rPr>
          <w:rFonts w:ascii="Times New Roman" w:cs="Times New Roman" w:eastAsia="Times New Roman" w:hAnsi="Times New Roman"/>
          <w:sz w:val="17"/>
          <w:szCs w:val="17"/>
          <w:color w:val="auto"/>
        </w:rPr>
      </w:pPr>
    </w:p>
    <w:p>
      <w:pPr>
        <w:ind w:left="780" w:hanging="446"/>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compensation in the form of equity-based awards.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205" w:lineRule="exact"/>
        <w:rPr>
          <w:sz w:val="20"/>
          <w:szCs w:val="20"/>
          <w:color w:val="auto"/>
        </w:rPr>
      </w:pPr>
    </w:p>
    <w:p>
      <w:pPr>
        <w:ind w:firstLine="595"/>
        <w:spacing w:after="0" w:line="286" w:lineRule="auto"/>
        <w:rPr>
          <w:sz w:val="20"/>
          <w:szCs w:val="20"/>
          <w:color w:val="auto"/>
        </w:rPr>
      </w:pPr>
      <w:r>
        <w:rPr>
          <w:rFonts w:ascii="Times New Roman" w:cs="Times New Roman" w:eastAsia="Times New Roman" w:hAnsi="Times New Roman"/>
          <w:sz w:val="15"/>
          <w:szCs w:val="15"/>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10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2024 Base Salary</w:t>
            </w:r>
          </w:p>
        </w:tc>
        <w:tc>
          <w:tcPr>
            <w:tcW w:w="1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2023 Base Salary</w:t>
            </w:r>
          </w:p>
        </w:tc>
        <w:tc>
          <w:tcPr>
            <w:tcW w:w="0" w:type="dxa"/>
            <w:vAlign w:val="bottom"/>
          </w:tcPr>
          <w:p>
            <w:pPr>
              <w:spacing w:after="0"/>
              <w:rPr>
                <w:sz w:val="1"/>
                <w:szCs w:val="1"/>
                <w:color w:val="auto"/>
              </w:rPr>
            </w:pPr>
          </w:p>
        </w:tc>
      </w:tr>
      <w:tr>
        <w:trPr>
          <w:trHeight w:val="25"/>
        </w:trPr>
        <w:tc>
          <w:tcPr>
            <w:tcW w:w="72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1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4"/>
              </w:rPr>
              <w:t>624,000</w:t>
            </w: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578,000(1)</w:t>
            </w:r>
          </w:p>
        </w:tc>
        <w:tc>
          <w:tcPr>
            <w:tcW w:w="0" w:type="dxa"/>
            <w:vAlign w:val="bottom"/>
          </w:tcPr>
          <w:p>
            <w:pPr>
              <w:spacing w:after="0"/>
              <w:rPr>
                <w:sz w:val="1"/>
                <w:szCs w:val="1"/>
                <w:color w:val="auto"/>
              </w:rPr>
            </w:pPr>
          </w:p>
        </w:tc>
      </w:tr>
      <w:tr>
        <w:trPr>
          <w:trHeight w:val="198"/>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Khurram Jamil, M.D. (2)</w:t>
            </w:r>
          </w:p>
        </w:tc>
        <w:tc>
          <w:tcPr>
            <w:tcW w:w="720" w:type="dxa"/>
            <w:vAlign w:val="bottom"/>
            <w:gridSpan w:val="2"/>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500,000(2)</w:t>
            </w: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720" w:type="dxa"/>
            <w:vAlign w:val="bottom"/>
            <w:gridSpan w:val="2"/>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400,000</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368,000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780" w:hanging="446"/>
        <w:spacing w:after="0" w:line="253" w:lineRule="auto"/>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 through December 2023.</w:t>
      </w:r>
    </w:p>
    <w:p>
      <w:pPr>
        <w:spacing w:after="0" w:line="1" w:lineRule="exact"/>
        <w:rPr>
          <w:rFonts w:ascii="Times New Roman" w:cs="Times New Roman" w:eastAsia="Times New Roman" w:hAnsi="Times New Roman"/>
          <w:sz w:val="17"/>
          <w:szCs w:val="17"/>
          <w:color w:val="auto"/>
        </w:rPr>
      </w:pPr>
    </w:p>
    <w:p>
      <w:pPr>
        <w:ind w:left="780" w:hanging="446"/>
        <w:spacing w:after="0" w:line="247" w:lineRule="auto"/>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Jamil joined the Company in March 2024 and was promoted to Chief Medical Officer effective August 1, 2024 and his base salary was adjusted to $500,000.</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Bonuses</w:t>
      </w:r>
    </w:p>
    <w:p>
      <w:pPr>
        <w:spacing w:after="0" w:line="205" w:lineRule="exact"/>
        <w:rPr>
          <w:sz w:val="20"/>
          <w:szCs w:val="20"/>
          <w:color w:val="auto"/>
        </w:rPr>
      </w:pPr>
    </w:p>
    <w:p>
      <w:pPr>
        <w:ind w:right="660" w:firstLine="595"/>
        <w:spacing w:after="0" w:line="267" w:lineRule="auto"/>
        <w:rPr>
          <w:sz w:val="20"/>
          <w:szCs w:val="20"/>
          <w:color w:val="auto"/>
        </w:rPr>
      </w:pPr>
      <w:r>
        <w:rPr>
          <w:rFonts w:ascii="Times New Roman" w:cs="Times New Roman" w:eastAsia="Times New Roman" w:hAnsi="Times New Roman"/>
          <w:sz w:val="17"/>
          <w:szCs w:val="17"/>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60" w:lineRule="exact"/>
        <w:rPr>
          <w:sz w:val="20"/>
          <w:szCs w:val="20"/>
          <w:color w:val="auto"/>
        </w:rPr>
      </w:pPr>
    </w:p>
    <w:p>
      <w:pPr>
        <w:ind w:firstLine="595"/>
        <w:spacing w:after="0" w:line="247" w:lineRule="auto"/>
        <w:rPr>
          <w:sz w:val="20"/>
          <w:szCs w:val="20"/>
          <w:color w:val="auto"/>
        </w:rPr>
      </w:pPr>
      <w:r>
        <w:rPr>
          <w:rFonts w:ascii="Times New Roman" w:cs="Times New Roman" w:eastAsia="Times New Roman" w:hAnsi="Times New Roman"/>
          <w:sz w:val="17"/>
          <w:szCs w:val="17"/>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2024 performance bonuses payments were split with half paid in February 2025 and half to be paid in April 2025, if the employee had not voluntarily resigned by that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Performance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8"/>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Bonus</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Awarded Amount</w:t>
            </w:r>
          </w:p>
        </w:tc>
      </w:tr>
      <w:tr>
        <w:trPr>
          <w:trHeight w:val="224"/>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2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As % of Base Salary</w:t>
            </w:r>
          </w:p>
        </w:tc>
        <w:tc>
          <w:tcPr>
            <w:tcW w:w="140" w:type="dxa"/>
            <w:vAlign w:val="bottom"/>
          </w:tcPr>
          <w:p>
            <w:pPr>
              <w:spacing w:after="0"/>
              <w:rPr>
                <w:sz w:val="19"/>
                <w:szCs w:val="19"/>
                <w:color w:val="auto"/>
              </w:rPr>
            </w:pPr>
          </w:p>
        </w:tc>
      </w:tr>
      <w:tr>
        <w:trPr>
          <w:trHeight w:val="19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4"/>
              </w:rPr>
              <w:t>312,000</w:t>
            </w: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19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Khurram Jamil, M.D.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w w:val="95"/>
              </w:rPr>
              <w:t>120,625(1)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9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120,000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 Dr. Jamil’s 2024 bonus was prorated for his employment during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Incentive Compensation</w:t>
      </w:r>
    </w:p>
    <w:p>
      <w:pPr>
        <w:spacing w:after="0" w:line="205" w:lineRule="exact"/>
        <w:rPr>
          <w:sz w:val="20"/>
          <w:szCs w:val="20"/>
          <w:color w:val="auto"/>
        </w:rPr>
      </w:pPr>
    </w:p>
    <w:p>
      <w:pPr>
        <w:ind w:right="20" w:firstLine="595"/>
        <w:spacing w:after="0" w:line="255" w:lineRule="auto"/>
        <w:rPr>
          <w:sz w:val="20"/>
          <w:szCs w:val="20"/>
          <w:color w:val="auto"/>
        </w:rPr>
      </w:pPr>
      <w:r>
        <w:rPr>
          <w:rFonts w:ascii="Times New Roman" w:cs="Times New Roman" w:eastAsia="Times New Roman" w:hAnsi="Times New Roman"/>
          <w:sz w:val="17"/>
          <w:szCs w:val="17"/>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71" w:lineRule="exact"/>
        <w:rPr>
          <w:sz w:val="20"/>
          <w:szCs w:val="20"/>
          <w:color w:val="auto"/>
        </w:rPr>
      </w:pPr>
    </w:p>
    <w:p>
      <w:pPr>
        <w:ind w:right="40" w:firstLine="595"/>
        <w:spacing w:after="0" w:line="255" w:lineRule="auto"/>
        <w:rPr>
          <w:sz w:val="20"/>
          <w:szCs w:val="20"/>
          <w:color w:val="auto"/>
        </w:rPr>
      </w:pPr>
      <w:r>
        <w:rPr>
          <w:rFonts w:ascii="Times New Roman" w:cs="Times New Roman" w:eastAsia="Times New Roman" w:hAnsi="Times New Roman"/>
          <w:sz w:val="17"/>
          <w:szCs w:val="17"/>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171" w:lineRule="exact"/>
        <w:rPr>
          <w:sz w:val="20"/>
          <w:szCs w:val="20"/>
          <w:color w:val="auto"/>
        </w:rPr>
      </w:pPr>
    </w:p>
    <w:p>
      <w:pPr>
        <w:jc w:val="both"/>
        <w:ind w:right="20" w:firstLine="595"/>
        <w:spacing w:after="0" w:line="255" w:lineRule="auto"/>
        <w:rPr>
          <w:sz w:val="20"/>
          <w:szCs w:val="20"/>
          <w:color w:val="auto"/>
        </w:rPr>
      </w:pPr>
      <w:r>
        <w:rPr>
          <w:rFonts w:ascii="Times New Roman" w:cs="Times New Roman" w:eastAsia="Times New Roman" w:hAnsi="Times New Roman"/>
          <w:sz w:val="17"/>
          <w:szCs w:val="17"/>
          <w:color w:val="auto"/>
        </w:rPr>
        <w:t>On January 24, 2024, Mr. Lewis and Mr. Callicutt were awarded the options noted below based on 2023 performance. For the performance options, 25% vest on each of June 30, 2024, December 31, 2024, June 30, 2025, and December 31, 2025. The exercise price of the options is set at the closing price of our stock as of the grant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Number of Securities</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660" w:type="dxa"/>
            <w:vAlign w:val="bottom"/>
            <w:gridSpan w:val="2"/>
          </w:tcPr>
          <w:p>
            <w:pPr>
              <w:jc w:val="right"/>
              <w:ind w:right="2860"/>
              <w:spacing w:after="0"/>
              <w:rPr>
                <w:sz w:val="20"/>
                <w:szCs w:val="20"/>
                <w:color w:val="auto"/>
              </w:rPr>
            </w:pPr>
            <w:r>
              <w:rPr>
                <w:rFonts w:ascii="Times New Roman" w:cs="Times New Roman" w:eastAsia="Times New Roman" w:hAnsi="Times New Roman"/>
                <w:sz w:val="17"/>
                <w:szCs w:val="17"/>
                <w:b w:val="1"/>
                <w:bCs w:val="1"/>
                <w:color w:val="auto"/>
                <w:w w:val="94"/>
              </w:rPr>
              <w:t>Grant Date</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Underlying Options</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6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1/24/2024</w:t>
            </w:r>
          </w:p>
        </w:tc>
        <w:tc>
          <w:tcPr>
            <w:tcW w:w="6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91,000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40" w:type="dxa"/>
            <w:vAlign w:val="bottom"/>
            <w:tcBorders>
              <w:top w:val="single" w:sz="8" w:color="CCEEFF"/>
            </w:tcBorders>
            <w:shd w:val="clear" w:color="auto" w:fill="CCEEFF"/>
          </w:tcPr>
          <w:p>
            <w:pPr>
              <w:spacing w:after="0"/>
              <w:rPr>
                <w:sz w:val="17"/>
                <w:szCs w:val="17"/>
                <w:color w:val="auto"/>
              </w:rPr>
            </w:pPr>
          </w:p>
        </w:tc>
      </w:tr>
      <w:tr>
        <w:trPr>
          <w:trHeight w:val="215"/>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3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1/24/2024</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65,000</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1.72</w:t>
            </w:r>
          </w:p>
        </w:tc>
      </w:tr>
    </w:tbl>
    <w:p>
      <w:pPr>
        <w:spacing w:after="0" w:line="165"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Also, on January 24, 2024, Mr. Lewis and Mr. Callicutt were granted restricted stock units of 56,000 shares and 40,000 shares, respectively. These restricted stock units vesting only would occur if the Company presented top-line results from its NAVIGATE clinical trial by the end of 2024. The restricted stock units vested on December 20,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Terms of Employment Contracts of Named Executive Officers</w:t>
      </w:r>
    </w:p>
    <w:p>
      <w:pPr>
        <w:spacing w:after="0" w:line="205" w:lineRule="exact"/>
        <w:rPr>
          <w:sz w:val="20"/>
          <w:szCs w:val="20"/>
          <w:color w:val="auto"/>
        </w:rPr>
      </w:pPr>
    </w:p>
    <w:p>
      <w:pPr>
        <w:ind w:right="160" w:firstLine="595"/>
        <w:spacing w:after="0" w:line="255" w:lineRule="auto"/>
        <w:rPr>
          <w:sz w:val="20"/>
          <w:szCs w:val="20"/>
          <w:color w:val="auto"/>
        </w:rPr>
      </w:pPr>
      <w:r>
        <w:rPr>
          <w:rFonts w:ascii="Times New Roman" w:cs="Times New Roman" w:eastAsia="Times New Roman" w:hAnsi="Times New Roman"/>
          <w:sz w:val="17"/>
          <w:szCs w:val="17"/>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Joel Lewis, Chief Executive Officer</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connection with the appointment of Mr. Lewis, the Company and Mr. Lewis entered into an employment agreement, dated August 31, 2020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Employment Agreement</w:t>
      </w:r>
      <w:r>
        <w:rPr>
          <w:rFonts w:ascii="Times New Roman" w:cs="Times New Roman" w:eastAsia="Times New Roman" w:hAnsi="Times New Roman"/>
          <w:sz w:val="15"/>
          <w:szCs w:val="15"/>
          <w:color w:val="auto"/>
        </w:rPr>
        <w:t>”), and a Deferred Stock Unit Agreement, dated August 31, 2020 (the “</w:t>
      </w:r>
      <w:r>
        <w:rPr>
          <w:rFonts w:ascii="Times New Roman" w:cs="Times New Roman" w:eastAsia="Times New Roman" w:hAnsi="Times New Roman"/>
          <w:sz w:val="15"/>
          <w:szCs w:val="15"/>
          <w:u w:val="single" w:color="auto"/>
          <w:color w:val="auto"/>
        </w:rPr>
        <w:t>DSU Agreement</w:t>
      </w:r>
      <w:r>
        <w:rPr>
          <w:rFonts w:ascii="Times New Roman" w:cs="Times New Roman" w:eastAsia="Times New Roman" w:hAnsi="Times New Roman"/>
          <w:sz w:val="15"/>
          <w:szCs w:val="15"/>
          <w:color w:val="auto"/>
        </w:rPr>
        <w:t>”). The Employment Agreement has an initial term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two years and automatically renews for additional one-year terms thereafter, unless either Mr. Lewis or the Company elects not to renew. Mr. Lewis will serve as Chief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Officer of the Company effective as of September 2, 2020 (the “</w:t>
      </w:r>
      <w:r>
        <w:rPr>
          <w:rFonts w:ascii="Times New Roman" w:cs="Times New Roman" w:eastAsia="Times New Roman" w:hAnsi="Times New Roman"/>
          <w:sz w:val="17"/>
          <w:szCs w:val="17"/>
          <w:u w:val="single" w:color="auto"/>
          <w:color w:val="auto"/>
        </w:rPr>
        <w:t>Start Date</w:t>
      </w:r>
      <w:r>
        <w:rPr>
          <w:rFonts w:ascii="Times New Roman" w:cs="Times New Roman" w:eastAsia="Times New Roman" w:hAnsi="Times New Roman"/>
          <w:sz w:val="17"/>
          <w:szCs w:val="17"/>
          <w:color w:val="auto"/>
        </w:rPr>
        <w:t>”), and will be paid an annual base salary of $500,000. Under the terms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Employment Agreement, 20% of his base salary will be paid in cash, and 80% will be paid in the form of deferred-stock-units (“</w:t>
      </w:r>
      <w:r>
        <w:rPr>
          <w:rFonts w:ascii="Times New Roman" w:cs="Times New Roman" w:eastAsia="Times New Roman" w:hAnsi="Times New Roman"/>
          <w:sz w:val="15"/>
          <w:szCs w:val="15"/>
          <w:u w:val="single" w:color="auto"/>
          <w:color w:val="auto"/>
        </w:rPr>
        <w:t>DSUs</w:t>
      </w:r>
      <w:r>
        <w:rPr>
          <w:rFonts w:ascii="Times New Roman" w:cs="Times New Roman" w:eastAsia="Times New Roman" w:hAnsi="Times New Roman"/>
          <w:sz w:val="15"/>
          <w:szCs w:val="15"/>
          <w:color w:val="auto"/>
        </w:rPr>
        <w:t>”) in accordance with the terms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subject to the provisions set forth in the DSU Agreement. In addition, Mr. Lewis is entitled to participate in the Company’s performance bonus plan with a potential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up to 50% of his annual base salary, which will also be paid 20% in cash and 80% in DSU’s. Further, Mr. Lewis received on the date of the agreement an initial grant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options to purchase 250,000 shares of the Company’s common stock, par value $0.001 per share, which options shall vest one-twelfth on a quarterly basis for twelve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consecutive quarters, such that the options shall be fully vested twelve quarters following the date of grant (the “</w:t>
      </w:r>
      <w:r>
        <w:rPr>
          <w:rFonts w:ascii="Times New Roman" w:cs="Times New Roman" w:eastAsia="Times New Roman" w:hAnsi="Times New Roman"/>
          <w:sz w:val="15"/>
          <w:szCs w:val="15"/>
          <w:u w:val="single" w:color="auto"/>
          <w:color w:val="auto"/>
        </w:rPr>
        <w:t>Award</w:t>
      </w:r>
      <w:r>
        <w:rPr>
          <w:rFonts w:ascii="Times New Roman" w:cs="Times New Roman" w:eastAsia="Times New Roman" w:hAnsi="Times New Roman"/>
          <w:sz w:val="15"/>
          <w:szCs w:val="15"/>
          <w:color w:val="auto"/>
        </w:rPr>
        <w:t>”). The options under the Award shall be issued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Company’s 2019 Omnibus Equity Incentive Plan (the “</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Pursuant to the Employment Agreement, Mr. Lewis is also eligible to receive healthcare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benefits as may be provided from time to time by the Company to its employees generally, to participate in the Company’s 401(k) plan and to receive paid time off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annually in accordance with the Company’s policies in effect from time to time. Finally, pursuant to the Employment Agreement, the Company will be required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furnish a lump sum cash payment to Mr. Lewis upon a termination of Mr. Lewis without “Cause” or upon Mr. Lewis’ resignation for “Good Reason” as such terms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defined in the Employment Agreement or in the event the Company gives notice of non-renewal on or before September 30, 2023. The Employment Agreement includes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customary intellectual property, assignment, and other representations by Mr. Lewis.</w:t>
      </w:r>
    </w:p>
    <w:p>
      <w:pPr>
        <w:spacing w:after="0" w:line="185" w:lineRule="exact"/>
        <w:rPr>
          <w:sz w:val="20"/>
          <w:szCs w:val="20"/>
          <w:color w:val="auto"/>
        </w:rPr>
      </w:pPr>
    </w:p>
    <w:p>
      <w:pPr>
        <w:ind w:firstLine="595"/>
        <w:spacing w:after="0" w:line="282" w:lineRule="auto"/>
        <w:rPr>
          <w:sz w:val="20"/>
          <w:szCs w:val="20"/>
          <w:color w:val="auto"/>
        </w:rPr>
      </w:pPr>
      <w:r>
        <w:rPr>
          <w:rFonts w:ascii="Times New Roman" w:cs="Times New Roman" w:eastAsia="Times New Roman" w:hAnsi="Times New Roman"/>
          <w:sz w:val="15"/>
          <w:szCs w:val="15"/>
          <w:color w:val="auto"/>
        </w:rPr>
        <w:t>On July 25, 2022, we entered into amendments to the Employment Agreement and DSU Agreement with 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ectPr>
          <w:pgSz w:w="11900" w:h="16838" w:orient="portrait"/>
          <w:cols w:equalWidth="0" w:num="1">
            <w:col w:w="11240"/>
          </w:cols>
          <w:pgMar w:left="320" w:top="115" w:right="339" w:bottom="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36195</wp:posOffset>
            </wp:positionV>
            <wp:extent cx="714375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9019"/>
          </w:cols>
          <w:pgMar w:left="1440" w:top="479"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firstLine="595"/>
        <w:spacing w:after="0" w:line="246" w:lineRule="auto"/>
        <w:rPr>
          <w:sz w:val="20"/>
          <w:szCs w:val="20"/>
          <w:color w:val="auto"/>
        </w:rPr>
      </w:pPr>
      <w:r>
        <w:rPr>
          <w:rFonts w:ascii="Times New Roman" w:cs="Times New Roman" w:eastAsia="Times New Roman" w:hAnsi="Times New Roman"/>
          <w:sz w:val="17"/>
          <w:szCs w:val="17"/>
          <w:color w:val="auto"/>
        </w:rPr>
        <w:t>The Deferred Stock Unit Agreement with Mr. Lewis specifies that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 DSU Agreement was executed in July 2022, whereby Mr. Lewis would continue to receive 20% of salary in cash and 80% in DSUs for 2023. The shares under the 2023 DSU Agreement are to be issued fifty percent on March 1, 2025 and fifty percent on January 5,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Khurram Jamil, M.D., Chief Medical Officer</w:t>
      </w:r>
    </w:p>
    <w:p>
      <w:pPr>
        <w:spacing w:after="0" w:line="203" w:lineRule="exact"/>
        <w:rPr>
          <w:sz w:val="20"/>
          <w:szCs w:val="20"/>
          <w:color w:val="auto"/>
        </w:rPr>
      </w:pPr>
    </w:p>
    <w:p>
      <w:pPr>
        <w:ind w:right="20" w:firstLine="595"/>
        <w:spacing w:after="0" w:line="245" w:lineRule="auto"/>
        <w:rPr>
          <w:sz w:val="20"/>
          <w:szCs w:val="20"/>
          <w:color w:val="auto"/>
        </w:rPr>
      </w:pPr>
      <w:r>
        <w:rPr>
          <w:rFonts w:ascii="Times New Roman" w:cs="Times New Roman" w:eastAsia="Times New Roman" w:hAnsi="Times New Roman"/>
          <w:sz w:val="17"/>
          <w:szCs w:val="17"/>
          <w:color w:val="auto"/>
        </w:rPr>
        <w:t>On August 1, 2024, the Company entered into an Employment Agreement with Dr. Jamil (the “Jamil Employment Agreement”), which governs the terms of Dr. Jamil’s employment in his position as the Company’s Chief Medical Officer. Dr. Jamil will serve as the Chief Medical Officer of the Company during an initial term that commences on August 1, 2024 (the “</w:t>
      </w:r>
      <w:r>
        <w:rPr>
          <w:rFonts w:ascii="Times New Roman" w:cs="Times New Roman" w:eastAsia="Times New Roman" w:hAnsi="Times New Roman"/>
          <w:sz w:val="17"/>
          <w:szCs w:val="17"/>
          <w:u w:val="single" w:color="auto"/>
          <w:color w:val="auto"/>
        </w:rPr>
        <w:t>Commencement Date</w:t>
      </w:r>
      <w:r>
        <w:rPr>
          <w:rFonts w:ascii="Times New Roman" w:cs="Times New Roman" w:eastAsia="Times New Roman" w:hAnsi="Times New Roman"/>
          <w:sz w:val="17"/>
          <w:szCs w:val="17"/>
          <w:color w:val="auto"/>
        </w:rPr>
        <w:t>”) and expires on August 1, 2025 (the “</w:t>
      </w:r>
      <w:r>
        <w:rPr>
          <w:rFonts w:ascii="Times New Roman" w:cs="Times New Roman" w:eastAsia="Times New Roman" w:hAnsi="Times New Roman"/>
          <w:sz w:val="17"/>
          <w:szCs w:val="17"/>
          <w:u w:val="single" w:color="auto"/>
          <w:color w:val="auto"/>
        </w:rPr>
        <w:t>Initial Term</w:t>
      </w:r>
      <w:r>
        <w:rPr>
          <w:rFonts w:ascii="Times New Roman" w:cs="Times New Roman" w:eastAsia="Times New Roman" w:hAnsi="Times New Roman"/>
          <w:sz w:val="17"/>
          <w:szCs w:val="17"/>
          <w:color w:val="auto"/>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Jamil a base salary of $500,000 per year (the “</w:t>
      </w: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Provided that certain performance objectives are met, Dr. Jamil will also be entitled to receive an annual performance bonus equal to thirty percent (30%) of the Base Salary (the “</w:t>
      </w:r>
      <w:r>
        <w:rPr>
          <w:rFonts w:ascii="Times New Roman" w:cs="Times New Roman" w:eastAsia="Times New Roman" w:hAnsi="Times New Roman"/>
          <w:sz w:val="17"/>
          <w:szCs w:val="17"/>
          <w:u w:val="single" w:color="auto"/>
          <w:color w:val="auto"/>
        </w:rPr>
        <w:t>Performance Bonus</w:t>
      </w:r>
      <w:r>
        <w:rPr>
          <w:rFonts w:ascii="Times New Roman" w:cs="Times New Roman" w:eastAsia="Times New Roman" w:hAnsi="Times New Roman"/>
          <w:sz w:val="17"/>
          <w:szCs w:val="17"/>
          <w:color w:val="auto"/>
        </w:rPr>
        <w:t>”). Subject to certain restrictions described in the Agreement, Dr. Jamil was granted options to purchase 100,000 shares (the “</w:t>
      </w:r>
      <w:r>
        <w:rPr>
          <w:rFonts w:ascii="Times New Roman" w:cs="Times New Roman" w:eastAsia="Times New Roman" w:hAnsi="Times New Roman"/>
          <w:sz w:val="17"/>
          <w:szCs w:val="17"/>
          <w:u w:val="single" w:color="auto"/>
          <w:color w:val="auto"/>
        </w:rPr>
        <w:t>Options</w:t>
      </w:r>
      <w:r>
        <w:rPr>
          <w:rFonts w:ascii="Times New Roman" w:cs="Times New Roman" w:eastAsia="Times New Roman" w:hAnsi="Times New Roman"/>
          <w:sz w:val="17"/>
          <w:szCs w:val="17"/>
          <w:color w:val="auto"/>
        </w:rPr>
        <w:t>”) of the Company’s common stock and restricted stock units for 10,000 shares of the Company’s common stock pursuant to the Company’s 2019 Omnibus Equity Incentive Plan. The Options vest as follows: twenty-five percent (25%) of the Options shall vest upon each of October 31, 2024; January 31, 2025; April 30, 2025; and July 31, 2025. The restricted stock units vesting only would occur if the Company presented top-line results from its NAVIGATE clinical trial by the end of 2024. The restricted stock units vested on December 20, 2024.</w:t>
      </w:r>
    </w:p>
    <w:p>
      <w:pPr>
        <w:spacing w:after="0" w:line="5" w:lineRule="exact"/>
        <w:rPr>
          <w:sz w:val="20"/>
          <w:szCs w:val="20"/>
          <w:color w:val="auto"/>
        </w:rPr>
      </w:pPr>
    </w:p>
    <w:p>
      <w:pPr>
        <w:ind w:firstLine="595"/>
        <w:spacing w:after="0" w:line="244" w:lineRule="auto"/>
        <w:rPr>
          <w:sz w:val="20"/>
          <w:szCs w:val="20"/>
          <w:color w:val="auto"/>
        </w:rPr>
      </w:pPr>
      <w:r>
        <w:rPr>
          <w:rFonts w:ascii="Times New Roman" w:cs="Times New Roman" w:eastAsia="Times New Roman" w:hAnsi="Times New Roman"/>
          <w:sz w:val="17"/>
          <w:szCs w:val="17"/>
          <w:color w:val="auto"/>
        </w:rPr>
        <w:t>Prior to his appointment as Chief Medical Officer, on March 11, 2024, Dr. Jamil joined the Company as vice president of clinical development and medical director. His annual salary was $400,000. He also was granted options to purchase 150,000 shares of the Company’s common stock which vest one-third at each of the first three anniversaries of his employment date. Additionally, he was granted restricted stock units for 10,000 shares of the Company’s common stock. The restricted stock units vesting only would occur if the Company presented top-line results from its NAVIGATE clinical trial by the end of 2024. The restricted stock units vested on December 20,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Jack W. Callicutt, Chief Financial Officer</w:t>
      </w:r>
    </w:p>
    <w:p>
      <w:pPr>
        <w:spacing w:after="0" w:line="203" w:lineRule="exact"/>
        <w:rPr>
          <w:sz w:val="20"/>
          <w:szCs w:val="20"/>
          <w:color w:val="auto"/>
        </w:rPr>
      </w:pPr>
    </w:p>
    <w:p>
      <w:pPr>
        <w:ind w:right="60" w:firstLine="595"/>
        <w:spacing w:after="0" w:line="247" w:lineRule="auto"/>
        <w:rPr>
          <w:sz w:val="20"/>
          <w:szCs w:val="20"/>
          <w:color w:val="auto"/>
        </w:rPr>
      </w:pPr>
      <w:r>
        <w:rPr>
          <w:rFonts w:ascii="Times New Roman" w:cs="Times New Roman" w:eastAsia="Times New Roman" w:hAnsi="Times New Roman"/>
          <w:sz w:val="17"/>
          <w:szCs w:val="17"/>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77" w:lineRule="exact"/>
        <w:rPr>
          <w:sz w:val="20"/>
          <w:szCs w:val="20"/>
          <w:color w:val="auto"/>
        </w:rPr>
      </w:pPr>
    </w:p>
    <w:p>
      <w:pPr>
        <w:ind w:right="80" w:firstLine="595"/>
        <w:spacing w:after="0" w:line="295" w:lineRule="auto"/>
        <w:rPr>
          <w:sz w:val="20"/>
          <w:szCs w:val="20"/>
          <w:color w:val="auto"/>
        </w:rPr>
      </w:pPr>
      <w:r>
        <w:rPr>
          <w:rFonts w:ascii="Times New Roman" w:cs="Times New Roman" w:eastAsia="Times New Roman" w:hAnsi="Times New Roman"/>
          <w:sz w:val="15"/>
          <w:szCs w:val="15"/>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Benefits &amp; Perquisites</w:t>
      </w:r>
    </w:p>
    <w:p>
      <w:pPr>
        <w:spacing w:after="0" w:line="205" w:lineRule="exact"/>
        <w:rPr>
          <w:sz w:val="20"/>
          <w:szCs w:val="20"/>
          <w:color w:val="auto"/>
        </w:rPr>
      </w:pPr>
    </w:p>
    <w:p>
      <w:pPr>
        <w:ind w:right="40" w:firstLine="595"/>
        <w:spacing w:after="0" w:line="247" w:lineRule="auto"/>
        <w:rPr>
          <w:sz w:val="20"/>
          <w:szCs w:val="20"/>
          <w:color w:val="auto"/>
        </w:rPr>
      </w:pPr>
      <w:r>
        <w:rPr>
          <w:rFonts w:ascii="Times New Roman" w:cs="Times New Roman" w:eastAsia="Times New Roman" w:hAnsi="Times New Roman"/>
          <w:sz w:val="17"/>
          <w:szCs w:val="17"/>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following table summarizes the compensation paid to our NEOs for the fiscal years ended December 31, 2024 and 2023.</w:t>
      </w:r>
    </w:p>
    <w:p>
      <w:pPr>
        <w:spacing w:after="0" w:line="19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3"/>
              </w:rPr>
              <w:t>Stock</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4"/>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89"/>
              </w:rPr>
              <w:t>Year</w:t>
            </w:r>
          </w:p>
        </w:tc>
        <w:tc>
          <w:tcPr>
            <w:tcW w:w="1120" w:type="dxa"/>
            <w:vAlign w:val="bottom"/>
            <w:gridSpan w:val="2"/>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 (1)</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198"/>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 Chief Executive Officer</w:t>
            </w:r>
          </w:p>
        </w:tc>
        <w:tc>
          <w:tcPr>
            <w:tcW w:w="120" w:type="dxa"/>
            <w:vAlign w:val="bottom"/>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2024(2)</w:t>
            </w:r>
          </w:p>
        </w:tc>
        <w:tc>
          <w:tcPr>
            <w:tcW w:w="10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620,167</w:t>
            </w: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312,000</w:t>
            </w:r>
          </w:p>
        </w:tc>
        <w:tc>
          <w:tcPr>
            <w:tcW w:w="2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202,635</w:t>
            </w:r>
          </w:p>
        </w:tc>
        <w:tc>
          <w:tcPr>
            <w:tcW w:w="2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54,872(3)</w:t>
            </w: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1,189,674</w:t>
            </w:r>
          </w:p>
        </w:tc>
        <w:tc>
          <w:tcPr>
            <w:tcW w:w="100" w:type="dxa"/>
            <w:vAlign w:val="bottom"/>
            <w:shd w:val="clear" w:color="auto" w:fill="CCEEFF"/>
          </w:tcPr>
          <w:p>
            <w:pPr>
              <w:spacing w:after="0"/>
              <w:rPr>
                <w:sz w:val="17"/>
                <w:szCs w:val="17"/>
                <w:color w:val="auto"/>
              </w:rPr>
            </w:pPr>
          </w:p>
        </w:tc>
      </w:tr>
      <w:tr>
        <w:trPr>
          <w:trHeight w:val="198"/>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&amp; President</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2023(2)</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573,583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289,000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55,924</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45,140(4)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963,647</w:t>
            </w:r>
          </w:p>
        </w:tc>
      </w:tr>
      <w:tr>
        <w:trPr>
          <w:trHeight w:val="182"/>
        </w:trPr>
        <w:tc>
          <w:tcPr>
            <w:tcW w:w="25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w w:val="97"/>
              </w:rPr>
              <w:t>Khurram Jamil, M.D., Chief Medical</w:t>
            </w:r>
          </w:p>
        </w:tc>
        <w:tc>
          <w:tcPr>
            <w:tcW w:w="2280" w:type="dxa"/>
            <w:vAlign w:val="bottom"/>
            <w:gridSpan w:val="2"/>
          </w:tcPr>
          <w:p>
            <w:pPr>
              <w:jc w:val="center"/>
              <w:ind w:left="37"/>
              <w:spacing w:after="0" w:line="182" w:lineRule="exact"/>
              <w:rPr>
                <w:sz w:val="20"/>
                <w:szCs w:val="20"/>
                <w:color w:val="auto"/>
              </w:rPr>
            </w:pPr>
            <w:r>
              <w:rPr>
                <w:rFonts w:ascii="Times New Roman" w:cs="Times New Roman" w:eastAsia="Times New Roman" w:hAnsi="Times New Roman"/>
                <w:sz w:val="17"/>
                <w:szCs w:val="17"/>
                <w:color w:val="auto"/>
                <w:w w:val="96"/>
              </w:rPr>
              <w:t>2024(6)</w:t>
            </w:r>
          </w:p>
        </w:tc>
        <w:tc>
          <w:tcPr>
            <w:tcW w:w="1340" w:type="dxa"/>
            <w:vAlign w:val="bottom"/>
            <w:gridSpan w:val="3"/>
          </w:tcPr>
          <w:p>
            <w:pPr>
              <w:jc w:val="right"/>
              <w:ind w:right="220"/>
              <w:spacing w:after="0" w:line="182" w:lineRule="exact"/>
              <w:rPr>
                <w:sz w:val="20"/>
                <w:szCs w:val="20"/>
                <w:color w:val="auto"/>
              </w:rPr>
            </w:pPr>
            <w:r>
              <w:rPr>
                <w:rFonts w:ascii="Times New Roman" w:cs="Times New Roman" w:eastAsia="Times New Roman" w:hAnsi="Times New Roman"/>
                <w:sz w:val="17"/>
                <w:szCs w:val="17"/>
                <w:color w:val="auto"/>
              </w:rPr>
              <w:t>365,909</w:t>
            </w:r>
          </w:p>
        </w:tc>
        <w:tc>
          <w:tcPr>
            <w:tcW w:w="12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7"/>
                <w:szCs w:val="17"/>
                <w:color w:val="auto"/>
              </w:rPr>
              <w:t>120,625</w:t>
            </w:r>
          </w:p>
        </w:tc>
        <w:tc>
          <w:tcPr>
            <w:tcW w:w="144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7"/>
                <w:szCs w:val="17"/>
                <w:color w:val="auto"/>
              </w:rPr>
              <w:t>398,500</w:t>
            </w:r>
          </w:p>
        </w:tc>
        <w:tc>
          <w:tcPr>
            <w:tcW w:w="146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7"/>
                <w:szCs w:val="17"/>
                <w:color w:val="auto"/>
              </w:rPr>
              <w:t>60,813(7)</w:t>
            </w:r>
          </w:p>
        </w:tc>
        <w:tc>
          <w:tcPr>
            <w:tcW w:w="100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7"/>
                <w:szCs w:val="17"/>
                <w:color w:val="auto"/>
              </w:rPr>
              <w:t>945,847</w:t>
            </w:r>
          </w:p>
        </w:tc>
      </w:tr>
      <w:tr>
        <w:trPr>
          <w:trHeight w:val="215"/>
        </w:trPr>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Officer (5)</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 Chief Financial</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2024(8)</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397,333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144,740</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54,872(9)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716,945</w:t>
            </w:r>
          </w:p>
        </w:tc>
      </w:tr>
      <w:tr>
        <w:trPr>
          <w:trHeight w:val="198"/>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2023(8)</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364,000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110,400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39,946</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47,073(10)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561,419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180975</wp:posOffset>
            </wp:positionV>
            <wp:extent cx="107886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78865" cy="15875"/>
                    </a:xfrm>
                    <a:prstGeom prst="rect">
                      <a:avLst/>
                    </a:prstGeom>
                    <a:noFill/>
                  </pic:spPr>
                </pic:pic>
              </a:graphicData>
            </a:graphic>
          </wp:anchor>
        </w:drawing>
      </w:r>
    </w:p>
    <w:p>
      <w:pPr>
        <w:spacing w:after="0" w:line="360" w:lineRule="exact"/>
        <w:rPr>
          <w:sz w:val="20"/>
          <w:szCs w:val="20"/>
          <w:color w:val="auto"/>
        </w:rPr>
      </w:pPr>
    </w:p>
    <w:p>
      <w:pPr>
        <w:jc w:val="both"/>
        <w:ind w:left="441" w:hanging="441"/>
        <w:spacing w:after="0" w:line="248" w:lineRule="auto"/>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grant date fair value of restricted stock units and option awards made during 2024 and 2023 computed in accordance with the Stock Compensation Topic of the FASB ASC, as modified of supplemented. Option awards fair values were calculated using the Black-Scholes options pricing model. For a description of the assumptions used to determine these amounts, see Note 9 of the Notes to the Consolidated Financial Statements in our Annual Reports on Form 10-K for the fiscal years ended December 31, 2024 and 2023.</w:t>
      </w:r>
    </w:p>
    <w:p>
      <w:pPr>
        <w:spacing w:after="0" w:line="2" w:lineRule="exact"/>
        <w:rPr>
          <w:rFonts w:ascii="Times New Roman" w:cs="Times New Roman" w:eastAsia="Times New Roman" w:hAnsi="Times New Roman"/>
          <w:sz w:val="17"/>
          <w:szCs w:val="17"/>
          <w:color w:val="auto"/>
        </w:rPr>
      </w:pPr>
    </w:p>
    <w:p>
      <w:pPr>
        <w:ind w:left="441" w:hanging="441"/>
        <w:spacing w:after="0" w:line="243" w:lineRule="auto"/>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Lewis’s performance bonuses for 2024 and 2023 were approved in January 2025 and January 2024, respectively. Pursuant to his employment agreement 20% of his salary and bonus were paid in cash and 80% were awarded in deferred stock units through December 31, 2023.</w:t>
      </w:r>
    </w:p>
    <w:p>
      <w:pPr>
        <w:spacing w:after="0" w:line="1"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$41,072 for health and other insurance and $13,800 for 401(k) plan contributions.</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$33,244 for health and other insurance and $11,896 for 401(k) plan contributions.</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Jamil joined the Company in March 2024 as vice president of clinical development and was promoted to Chief Medical Officer effective August 1, 2024.</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Jamil’s performance bonus for 2024 was approved in January 2025.</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$47,146 for health and other insurance and $13,667 for 401(k) plan contributions.</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Callicutt’s performance bonuses for 2024 and 2023 were approved in January 2025 and January 2024, respectively.</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$41,072 for health and other insurance and $13,800 for 401(k) plan contributions.</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$33,873 for health and other insurance and $12,200 for 401(k) plan contributions.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40" w:name="page41"/>
    <w:bookmarkEnd w:id="40"/>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2024</w:t>
      </w:r>
    </w:p>
    <w:p>
      <w:pPr>
        <w:spacing w:after="0" w:line="205" w:lineRule="exact"/>
        <w:rPr>
          <w:sz w:val="20"/>
          <w:szCs w:val="20"/>
          <w:color w:val="auto"/>
        </w:rPr>
      </w:pPr>
    </w:p>
    <w:p>
      <w:pPr>
        <w:ind w:left="1" w:right="100" w:firstLine="595"/>
        <w:spacing w:after="0" w:line="255" w:lineRule="auto"/>
        <w:rPr>
          <w:sz w:val="20"/>
          <w:szCs w:val="20"/>
          <w:color w:val="auto"/>
        </w:rPr>
      </w:pPr>
      <w:r>
        <w:rPr>
          <w:rFonts w:ascii="Times New Roman" w:cs="Times New Roman" w:eastAsia="Times New Roman" w:hAnsi="Times New Roman"/>
          <w:sz w:val="17"/>
          <w:szCs w:val="17"/>
          <w:color w:val="auto"/>
        </w:rPr>
        <w:t>The following table sets forth information regarding all outstanding equity awards held by the NEOs at December 31, 2024. The exercise price of the options is set at the closing price of our stock at the date prior to or as of the date of grant. Outstanding options have been approved by our Compensation Committee and our Board.</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8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5"/>
              </w:rPr>
              <w:t>Incentive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6"/>
              </w:rPr>
              <w:t>Plan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Plan</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6"/>
              </w:rPr>
              <w:t>Awards: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2"/>
              </w:rPr>
              <w:t>Awards: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or Payout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Unearned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Plan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3"/>
              </w:rPr>
              <w:t>Shares,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Unearned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Awards: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Units or</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of Shares</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Units</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Units 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Securities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5"/>
              </w:rPr>
              <w:t>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Securities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or Units</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Rights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Underlying</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Underlying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Underlying</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of Stock</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Rights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Unexercised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Unexercised</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Unexercised</w:t>
            </w:r>
          </w:p>
        </w:tc>
        <w:tc>
          <w:tcPr>
            <w:tcW w:w="120" w:type="dxa"/>
            <w:vAlign w:val="bottom"/>
          </w:tcPr>
          <w:p>
            <w:pPr>
              <w:spacing w:after="0"/>
              <w:rPr>
                <w:sz w:val="17"/>
                <w:szCs w:val="17"/>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Have</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Unearned</w:t>
            </w:r>
          </w:p>
        </w:tc>
        <w:tc>
          <w:tcPr>
            <w:tcW w:w="12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Have Not</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Not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6"/>
              </w:rPr>
              <w:t>Have Not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12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5"/>
              </w:rPr>
              <w:t>Price</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Expiration</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Vested</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Vested</w:t>
            </w: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3"/>
              </w:rPr>
              <w:t>Vested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3"/>
              </w:rPr>
              <w:t>Vested</w:t>
            </w:r>
          </w:p>
        </w:tc>
        <w:tc>
          <w:tcPr>
            <w:tcW w:w="0" w:type="dxa"/>
            <w:vAlign w:val="bottom"/>
          </w:tcPr>
          <w:p>
            <w:pPr>
              <w:spacing w:after="0"/>
              <w:rPr>
                <w:sz w:val="1"/>
                <w:szCs w:val="1"/>
                <w:color w:val="auto"/>
              </w:rPr>
            </w:pPr>
          </w:p>
        </w:tc>
      </w:tr>
      <w:tr>
        <w:trPr>
          <w:trHeight w:val="224"/>
        </w:trPr>
        <w:tc>
          <w:tcPr>
            <w:tcW w:w="19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Exercisable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Unexercisable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Date</w:t>
            </w:r>
          </w:p>
        </w:tc>
        <w:tc>
          <w:tcPr>
            <w:tcW w:w="82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1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54,250(1)</w:t>
            </w:r>
          </w:p>
        </w:tc>
        <w:tc>
          <w:tcPr>
            <w:tcW w:w="2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5"/>
              </w:rPr>
              <w:t>12/14/2027</w:t>
            </w:r>
          </w:p>
        </w:tc>
        <w:tc>
          <w:tcPr>
            <w:tcW w:w="1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35,000(2)</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4.72</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01/16/2029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40,000(3)</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2.86</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01/09/2030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250,000(4)</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2.65</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08/31/2030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70,000(5)</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140,000(6)</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tcPr>
          <w:p>
            <w:pPr>
              <w:spacing w:after="0"/>
              <w:rPr>
                <w:sz w:val="17"/>
                <w:szCs w:val="17"/>
                <w:color w:val="auto"/>
              </w:rPr>
            </w:pP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70,000(7)</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1.98</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01/24/2032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70,000(8)</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40" w:type="dxa"/>
            <w:vAlign w:val="bottom"/>
          </w:tcPr>
          <w:p>
            <w:pPr>
              <w:spacing w:after="0"/>
              <w:rPr>
                <w:sz w:val="17"/>
                <w:szCs w:val="17"/>
                <w:color w:val="auto"/>
              </w:rPr>
            </w:pP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01/26/2033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45,500(9 )</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45,000(9)</w:t>
            </w:r>
          </w:p>
        </w:tc>
        <w:tc>
          <w:tcPr>
            <w:tcW w:w="1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01/24/2034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Khurram Jamil, M.D.</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150,000(10)</w:t>
            </w:r>
          </w:p>
        </w:tc>
        <w:tc>
          <w:tcPr>
            <w:tcW w:w="124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2.20</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03/20/2034</w:t>
            </w:r>
          </w:p>
        </w:tc>
        <w:tc>
          <w:tcPr>
            <w:tcW w:w="100" w:type="dxa"/>
            <w:vAlign w:val="bottom"/>
          </w:tcPr>
          <w:p>
            <w:pPr>
              <w:spacing w:after="0"/>
              <w:rPr>
                <w:sz w:val="17"/>
                <w:szCs w:val="17"/>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tcPr>
          <w:p>
            <w:pPr>
              <w:spacing w:after="0"/>
              <w:rPr>
                <w:sz w:val="17"/>
                <w:szCs w:val="17"/>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25,000()</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75,000(11)</w:t>
            </w:r>
          </w:p>
        </w:tc>
        <w:tc>
          <w:tcPr>
            <w:tcW w:w="1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2.50</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08/01/2034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90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26,000(12)</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01/21/2024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8,706(13)</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1.37</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01/20/2026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90,000(14)</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5.87</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01/15/2028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90,000(15)</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4.16</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05/22/2028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50,000(16)</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4.72</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01/16/2029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50,000(17)</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2.86</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01/09/2030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50,500(5)</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100,000(6)</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tcPr>
          <w:p>
            <w:pPr>
              <w:spacing w:after="0"/>
              <w:rPr>
                <w:sz w:val="17"/>
                <w:szCs w:val="17"/>
                <w:color w:val="auto"/>
              </w:rPr>
            </w:pP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03/25/2031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50,000(7)</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1.98</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01/24/2032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50,000(8)</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40" w:type="dxa"/>
            <w:vAlign w:val="bottom"/>
          </w:tcPr>
          <w:p>
            <w:pPr>
              <w:spacing w:after="0"/>
              <w:rPr>
                <w:sz w:val="17"/>
                <w:szCs w:val="17"/>
                <w:color w:val="auto"/>
              </w:rPr>
            </w:pP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01/26/2033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32,500(9)</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32,500(9)</w:t>
            </w:r>
          </w:p>
        </w:tc>
        <w:tc>
          <w:tcPr>
            <w:tcW w:w="1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01/24/2034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180975</wp:posOffset>
            </wp:positionV>
            <wp:extent cx="107886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78865" cy="15875"/>
                    </a:xfrm>
                    <a:prstGeom prst="rect">
                      <a:avLst/>
                    </a:prstGeom>
                    <a:noFill/>
                  </pic:spPr>
                </pic:pic>
              </a:graphicData>
            </a:graphic>
          </wp:anchor>
        </w:drawing>
      </w:r>
    </w:p>
    <w:p>
      <w:pPr>
        <w:spacing w:after="0" w:line="360" w:lineRule="exact"/>
        <w:rPr>
          <w:sz w:val="20"/>
          <w:szCs w:val="20"/>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options vested in full on December 14, 2018.</w:t>
      </w:r>
    </w:p>
    <w:p>
      <w:pPr>
        <w:spacing w:after="0" w:line="19"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options vested in full on January 16, 2020.</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options vested in full on December 31, 2020.</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One-twelfth of the total options vested quarterly from August 31, 2020, which was the grant date.</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September 30, 2021, 25% vested on March 31, 2022, 25% vested on September 30, 2022, 25% vest on March 31, 2023.</w:t>
      </w:r>
    </w:p>
    <w:p>
      <w:pPr>
        <w:spacing w:after="0" w:line="2" w:lineRule="exact"/>
        <w:rPr>
          <w:rFonts w:ascii="Times New Roman" w:cs="Times New Roman" w:eastAsia="Times New Roman" w:hAnsi="Times New Roman"/>
          <w:sz w:val="17"/>
          <w:szCs w:val="17"/>
          <w:color w:val="auto"/>
        </w:rPr>
      </w:pPr>
    </w:p>
    <w:p>
      <w:pPr>
        <w:ind w:left="441" w:hanging="441"/>
        <w:spacing w:after="0" w:line="243" w:lineRule="auto"/>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options vested on December 20, 2024 when the Company received the top-line results of the NAVIGATE clinical trial and made a public announcement of such results.</w:t>
      </w:r>
    </w:p>
    <w:p>
      <w:pPr>
        <w:spacing w:after="0" w:line="1"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June 30, 2022, 25% vested on December 31, 2022, 25% vested on June 30, 2023, 25% vested on December 31, 2023.</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June 30, 2023, 25% vested on December 31, 2023, 25% vested on June 30, 2024, 25% vested on December 31, 2024.</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June 30, 2024, 25% vested on December 31, 2024, 25% vest on June 30, 2025, 25% vest on December 31, 2025.</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third of the options vest on each of March 11, 2025, March 11, 2026, and March 11, 2027.</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 on each of October 31, 2024, January 31, 2025, April 30, 2025, and July 31, 2025.</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January 21, 2014, the grant date with the remainder vested ratably on a monthly basis over a three-year period.</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January 29, 2015, the grant date with the remainder vested ratably on a monthly basis over a three-year period.</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January 15, 2018 (grant date), 25% vested on June 30, 2018, and 50% vested on December 31, 2018.</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June 30, 2018, 25% vested on September 30, 2018, and 50% vested on December 31, 2018.</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June 30, 2019, 25% vested on December 31, 2019, 25% vested on June 30, 2020, and 25% vested on December 31, 2020.</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options vested on June 30, 2020, 25% vested on December 31, 2020, 25% vested on June 30, 2021, and 25% vested on December 31, 2021.</w:t>
      </w:r>
    </w:p>
    <w:p>
      <w:pPr>
        <w:sectPr>
          <w:pgSz w:w="11900" w:h="16838" w:orient="portrait"/>
          <w:cols w:equalWidth="0" w:num="1">
            <w:col w:w="11241"/>
          </w:cols>
          <w:pgMar w:left="319" w:top="116" w:right="339" w:bottom="1440" w:gutter="0" w:footer="0" w:header="0"/>
        </w:sect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2019 Omnibus Equity Incentive Plan</w:t>
      </w:r>
    </w:p>
    <w:p>
      <w:pPr>
        <w:spacing w:after="0" w:line="205" w:lineRule="exact"/>
        <w:rPr>
          <w:sz w:val="20"/>
          <w:szCs w:val="20"/>
          <w:color w:val="auto"/>
        </w:rPr>
      </w:pPr>
    </w:p>
    <w:p>
      <w:pPr>
        <w:ind w:firstLine="595"/>
        <w:spacing w:after="0" w:line="246" w:lineRule="auto"/>
        <w:rPr>
          <w:sz w:val="20"/>
          <w:szCs w:val="20"/>
          <w:color w:val="auto"/>
        </w:rPr>
      </w:pPr>
      <w:r>
        <w:rPr>
          <w:rFonts w:ascii="Times New Roman" w:cs="Times New Roman" w:eastAsia="Times New Roman" w:hAnsi="Times New Roman"/>
          <w:sz w:val="17"/>
          <w:szCs w:val="17"/>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Potential Payments Upon Termination or Change-in-Control</w:t>
      </w:r>
    </w:p>
    <w:p>
      <w:pPr>
        <w:spacing w:after="0" w:line="20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Joel Lewis:</w:t>
      </w:r>
    </w:p>
    <w:p>
      <w:pPr>
        <w:spacing w:after="0" w:line="203" w:lineRule="exact"/>
        <w:rPr>
          <w:sz w:val="20"/>
          <w:szCs w:val="20"/>
          <w:color w:val="auto"/>
        </w:rPr>
      </w:pPr>
    </w:p>
    <w:p>
      <w:pPr>
        <w:ind w:left="1" w:right="140" w:firstLine="595"/>
        <w:spacing w:after="0" w:line="284" w:lineRule="auto"/>
        <w:rPr>
          <w:sz w:val="20"/>
          <w:szCs w:val="20"/>
          <w:color w:val="auto"/>
        </w:rPr>
      </w:pPr>
      <w:r>
        <w:rPr>
          <w:rFonts w:ascii="Times New Roman" w:cs="Times New Roman" w:eastAsia="Times New Roman" w:hAnsi="Times New Roman"/>
          <w:sz w:val="15"/>
          <w:szCs w:val="15"/>
          <w:color w:val="auto"/>
        </w:rPr>
        <w:t>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153" w:lineRule="exact"/>
        <w:rPr>
          <w:sz w:val="20"/>
          <w:szCs w:val="20"/>
          <w:color w:val="auto"/>
        </w:rPr>
      </w:pPr>
    </w:p>
    <w:p>
      <w:pPr>
        <w:ind w:left="1" w:firstLine="595"/>
        <w:spacing w:after="0" w:line="246" w:lineRule="auto"/>
        <w:rPr>
          <w:sz w:val="20"/>
          <w:szCs w:val="20"/>
          <w:color w:val="auto"/>
        </w:rPr>
      </w:pPr>
      <w:r>
        <w:rPr>
          <w:rFonts w:ascii="Times New Roman" w:cs="Times New Roman" w:eastAsia="Times New Roman" w:hAnsi="Times New Roman"/>
          <w:sz w:val="17"/>
          <w:szCs w:val="17"/>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1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Khurram Jamil, M.D.:</w:t>
      </w:r>
    </w:p>
    <w:p>
      <w:pPr>
        <w:spacing w:after="0" w:line="203" w:lineRule="exact"/>
        <w:rPr>
          <w:sz w:val="20"/>
          <w:szCs w:val="20"/>
          <w:color w:val="auto"/>
        </w:rPr>
      </w:pPr>
    </w:p>
    <w:p>
      <w:pPr>
        <w:ind w:left="1" w:right="20" w:firstLine="595"/>
        <w:spacing w:after="0" w:line="247" w:lineRule="auto"/>
        <w:rPr>
          <w:sz w:val="20"/>
          <w:szCs w:val="20"/>
          <w:color w:val="auto"/>
        </w:rPr>
      </w:pPr>
      <w:r>
        <w:rPr>
          <w:rFonts w:ascii="Times New Roman" w:cs="Times New Roman" w:eastAsia="Times New Roman" w:hAnsi="Times New Roman"/>
          <w:sz w:val="17"/>
          <w:szCs w:val="17"/>
          <w:color w:val="auto"/>
        </w:rPr>
        <w:t>Under the Employment Agreement with Dr. Jamil, if (i) Dr. Jamil terminates the Agreement for Good Reason (as defined in the Agreement) or (ii) the Company terminates the Agreement without Cause (as defined in the Agreement), then the Company shall pay to Dr. Jamil: (1) the Base Salary accrued through the date of termination, (2)(A)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177" w:lineRule="exact"/>
        <w:rPr>
          <w:sz w:val="20"/>
          <w:szCs w:val="20"/>
          <w:color w:val="auto"/>
        </w:rPr>
      </w:pPr>
    </w:p>
    <w:p>
      <w:pPr>
        <w:ind w:left="1" w:right="20" w:firstLine="595"/>
        <w:spacing w:after="0" w:line="248" w:lineRule="auto"/>
        <w:rPr>
          <w:sz w:val="20"/>
          <w:szCs w:val="20"/>
          <w:color w:val="auto"/>
        </w:rPr>
      </w:pPr>
      <w:r>
        <w:rPr>
          <w:rFonts w:ascii="Times New Roman" w:cs="Times New Roman" w:eastAsia="Times New Roman" w:hAnsi="Times New Roman"/>
          <w:sz w:val="17"/>
          <w:szCs w:val="17"/>
          <w:color w:val="auto"/>
        </w:rPr>
        <w:t>If, within the period ending twelve (12) months after the date of a Change of Control, Dr. Jamil’s employment with the Company is (i) terminated without Cause or (ii) terminated for Good Reason by Dr. Jamil, the Company shall pay to Dr. Boudes (A) the Base Salary accrued through the date of termination, to the extent not theretofore paid, (B) Jamil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Jamil’s unvested Options shall be one hundred percent (100%) vested, but shall otherwise continue to be governed by the terms and conditions of the Plan and the applicable stock option agreement.</w:t>
      </w:r>
    </w:p>
    <w:p>
      <w:pPr>
        <w:spacing w:after="0" w:line="1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Jack Callicutt:</w:t>
      </w:r>
    </w:p>
    <w:p>
      <w:pPr>
        <w:spacing w:after="0" w:line="203" w:lineRule="exact"/>
        <w:rPr>
          <w:sz w:val="20"/>
          <w:szCs w:val="20"/>
          <w:color w:val="auto"/>
        </w:rPr>
      </w:pPr>
    </w:p>
    <w:p>
      <w:pPr>
        <w:ind w:left="1" w:right="80" w:firstLine="595"/>
        <w:spacing w:after="0" w:line="283" w:lineRule="auto"/>
        <w:rPr>
          <w:sz w:val="20"/>
          <w:szCs w:val="20"/>
          <w:color w:val="auto"/>
        </w:rPr>
      </w:pPr>
      <w:r>
        <w:rPr>
          <w:rFonts w:ascii="Times New Roman" w:cs="Times New Roman" w:eastAsia="Times New Roman" w:hAnsi="Times New Roman"/>
          <w:sz w:val="15"/>
          <w:szCs w:val="15"/>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w:t>
      </w:r>
    </w:p>
    <w:p>
      <w:pPr>
        <w:spacing w:after="0" w:line="2" w:lineRule="exact"/>
        <w:rPr>
          <w:sz w:val="20"/>
          <w:szCs w:val="20"/>
          <w:color w:val="auto"/>
        </w:rPr>
      </w:pPr>
    </w:p>
    <w:p>
      <w:pPr>
        <w:ind w:left="1" w:right="20" w:hanging="1"/>
        <w:spacing w:after="0" w:line="244" w:lineRule="auto"/>
        <w:tabs>
          <w:tab w:leader="none" w:pos="26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(12)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43" w:name="page44"/>
    <w:bookmarkEnd w:id="43"/>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following table details the total compensation earned by our non-employee directors during the year ended December 31, 2024.</w:t>
      </w:r>
    </w:p>
    <w:p>
      <w:pPr>
        <w:spacing w:after="0" w:line="19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Fees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Restricted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Earned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3"/>
              </w:rPr>
              <w:t>Option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Incentive Plan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or Paid in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1"/>
              </w:rPr>
              <w:t>Awards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Compensation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22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4"/>
        </w:trPr>
        <w:tc>
          <w:tcPr>
            <w:tcW w:w="3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Cash ($)</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(1)</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(2)</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(3)</w:t>
            </w:r>
          </w:p>
        </w:tc>
        <w:tc>
          <w:tcPr>
            <w:tcW w:w="1340" w:type="dxa"/>
            <w:vAlign w:val="bottom"/>
            <w:gridSpan w:val="2"/>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8"/>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Gilbert F. Amelio, Ph.D.</w:t>
            </w:r>
          </w:p>
        </w:tc>
        <w:tc>
          <w:tcPr>
            <w:tcW w:w="1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55,500</w:t>
            </w: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58,000</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113,500</w:t>
            </w:r>
          </w:p>
        </w:tc>
        <w:tc>
          <w:tcPr>
            <w:tcW w:w="100" w:type="dxa"/>
            <w:vAlign w:val="bottom"/>
            <w:shd w:val="clear" w:color="auto" w:fill="CCEEFF"/>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Benjamin S. Carson, Sr., M.D.</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98,000</w:t>
            </w: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Kary Eldred</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47,500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105,500</w:t>
            </w: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Kevin D. Freeman</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56,000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114,000</w:t>
            </w: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Gilbert S. Omenn, M.D., Ph.D.</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98,000</w:t>
            </w: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Marc Rubin, M.D.</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43,500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101,500</w:t>
            </w: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Elissa J. Schwartz, Ph.D.</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101,500</w:t>
            </w: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Harold H. Shlevin, Ph.D.</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98,000</w:t>
            </w: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Uihlein</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98,000</w:t>
            </w:r>
          </w:p>
        </w:tc>
      </w:tr>
      <w:tr>
        <w:trPr>
          <w:trHeight w:val="215"/>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Richard A. Zordani</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55,000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58,000</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82"/>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170180</wp:posOffset>
            </wp:positionV>
            <wp:extent cx="107886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78865" cy="15875"/>
                    </a:xfrm>
                    <a:prstGeom prst="rect">
                      <a:avLst/>
                    </a:prstGeom>
                    <a:noFill/>
                  </pic:spPr>
                </pic:pic>
              </a:graphicData>
            </a:graphic>
          </wp:anchor>
        </w:drawing>
      </w:r>
    </w:p>
    <w:p>
      <w:pPr>
        <w:spacing w:after="0" w:line="344" w:lineRule="exact"/>
        <w:rPr>
          <w:sz w:val="20"/>
          <w:szCs w:val="20"/>
          <w:color w:val="auto"/>
        </w:rPr>
      </w:pPr>
    </w:p>
    <w:p>
      <w:pPr>
        <w:ind w:left="441" w:hanging="441"/>
        <w:spacing w:after="0"/>
        <w:tabs>
          <w:tab w:leader="none" w:pos="44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Uihlein elected to receive restricted stock in lieu of cash retainer for their service. The restricted shares vested in full on December 31, 2024.</w:t>
      </w:r>
    </w:p>
    <w:p>
      <w:pPr>
        <w:spacing w:after="0" w:line="19" w:lineRule="exact"/>
        <w:rPr>
          <w:rFonts w:ascii="Times New Roman" w:cs="Times New Roman" w:eastAsia="Times New Roman" w:hAnsi="Times New Roman"/>
          <w:sz w:val="17"/>
          <w:szCs w:val="17"/>
          <w:color w:val="auto"/>
        </w:rPr>
      </w:pPr>
    </w:p>
    <w:p>
      <w:pPr>
        <w:jc w:val="both"/>
        <w:ind w:left="441" w:hanging="441"/>
        <w:spacing w:after="0" w:line="243" w:lineRule="auto"/>
        <w:tabs>
          <w:tab w:leader="none" w:pos="44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grant date fair value of option awards based upon the Black Scholes valuation model made in 2024. The option grants were made on January 24, 2024. Each non-employee director received one grant of 50,000 options which will vest in full on December 31, 2024. For a description of the assumptions used to determine these amounts, see Note 9 to the Notes to the Consolidated Financial Statements herein our Annual Report on Form 10-K for the fiscal year ended December 31, 2024.</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travel expense reimbursements.</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Number of</w:t>
            </w: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Shares</w:t>
            </w: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4"/>
              </w:rPr>
              <w:t>Subject</w:t>
            </w: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to Option</w:t>
            </w: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5"/>
              </w:rPr>
              <w:t>Awards</w:t>
            </w: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Held</w:t>
            </w: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as of</w:t>
            </w: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December</w:t>
            </w: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124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b w:val="1"/>
                <w:bCs w:val="1"/>
                <w:color w:val="auto"/>
                <w:w w:val="93"/>
              </w:rPr>
              <w:t>31,</w:t>
            </w:r>
          </w:p>
        </w:tc>
        <w:tc>
          <w:tcPr>
            <w:tcW w:w="100" w:type="dxa"/>
            <w:vAlign w:val="bottom"/>
          </w:tcPr>
          <w:p>
            <w:pPr>
              <w:spacing w:after="0"/>
              <w:rPr>
                <w:sz w:val="17"/>
                <w:szCs w:val="17"/>
                <w:color w:val="auto"/>
              </w:rPr>
            </w:pPr>
          </w:p>
        </w:tc>
      </w:tr>
      <w:tr>
        <w:trPr>
          <w:trHeight w:val="224"/>
        </w:trPr>
        <w:tc>
          <w:tcPr>
            <w:tcW w:w="9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40" w:type="dxa"/>
            <w:vAlign w:val="bottom"/>
            <w:gridSpan w:val="2"/>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r>
      <w:tr>
        <w:trPr>
          <w:trHeight w:val="198"/>
        </w:trPr>
        <w:tc>
          <w:tcPr>
            <w:tcW w:w="20" w:type="dxa"/>
            <w:vAlign w:val="bottom"/>
            <w:tcBorders>
              <w:top w:val="single" w:sz="8" w:color="auto"/>
            </w:tcBorders>
          </w:tcPr>
          <w:p>
            <w:pPr>
              <w:spacing w:after="0"/>
              <w:rPr>
                <w:sz w:val="17"/>
                <w:szCs w:val="17"/>
                <w:color w:val="auto"/>
              </w:rPr>
            </w:pPr>
          </w:p>
        </w:tc>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Gilbert F. Amelio, Ph.D.</w:t>
            </w:r>
          </w:p>
        </w:tc>
        <w:tc>
          <w:tcPr>
            <w:tcW w:w="1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7"/>
                <w:szCs w:val="17"/>
                <w:color w:val="auto"/>
              </w:rPr>
              <w:t>Benjamin S. Carson, Sr., M.D.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Kary Eldred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341,875</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7"/>
                <w:szCs w:val="17"/>
                <w:color w:val="auto"/>
              </w:rPr>
              <w:t>Kevin D. Freeman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403,125</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Gilbert S. Omenn, M.D., Ph.D.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418,750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7"/>
                <w:szCs w:val="17"/>
                <w:color w:val="auto"/>
              </w:rPr>
              <w:t>Marc Rubin, M.D.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344,565</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Elissa J. Schwartz, Ph.D.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7"/>
                <w:szCs w:val="17"/>
                <w:color w:val="auto"/>
              </w:rPr>
              <w:t>Harold H. Shlevin, Ph.D.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595,000</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Uihlein</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306,362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7"/>
                <w:szCs w:val="17"/>
                <w:color w:val="auto"/>
              </w:rPr>
              <w:t>Richard A. Zordani</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3,354,677</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82" w:lineRule="exact"/>
        <w:rPr>
          <w:sz w:val="20"/>
          <w:szCs w:val="20"/>
          <w:color w:val="auto"/>
        </w:rPr>
      </w:pPr>
    </w:p>
    <w:p>
      <w:pPr>
        <w:ind w:left="1" w:right="180" w:firstLine="595"/>
        <w:spacing w:after="0" w:line="255" w:lineRule="auto"/>
        <w:rPr>
          <w:sz w:val="20"/>
          <w:szCs w:val="20"/>
          <w:color w:val="auto"/>
        </w:rPr>
      </w:pPr>
      <w:r>
        <w:rPr>
          <w:rFonts w:ascii="Times New Roman" w:cs="Times New Roman" w:eastAsia="Times New Roman" w:hAnsi="Times New Roman"/>
          <w:sz w:val="17"/>
          <w:szCs w:val="17"/>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2024 fiscal year.</w:t>
      </w:r>
    </w:p>
    <w:p>
      <w:pPr>
        <w:spacing w:after="0" w:line="17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7"/>
          <w:szCs w:val="17"/>
          <w:color w:val="auto"/>
        </w:rPr>
        <w:t>We also reimburse our directors for reasonable travel and other related expenses.</w:t>
      </w:r>
    </w:p>
    <w:p>
      <w:pPr>
        <w:spacing w:after="0" w:line="201" w:lineRule="exact"/>
        <w:rPr>
          <w:sz w:val="20"/>
          <w:szCs w:val="20"/>
          <w:color w:val="auto"/>
        </w:rPr>
      </w:pPr>
    </w:p>
    <w:p>
      <w:pPr>
        <w:ind w:left="1" w:right="60" w:firstLine="595"/>
        <w:spacing w:after="0" w:line="291" w:lineRule="auto"/>
        <w:rPr>
          <w:sz w:val="20"/>
          <w:szCs w:val="20"/>
          <w:color w:val="auto"/>
        </w:rPr>
      </w:pPr>
      <w:r>
        <w:rPr>
          <w:rFonts w:ascii="Times New Roman" w:cs="Times New Roman" w:eastAsia="Times New Roman" w:hAnsi="Times New Roman"/>
          <w:sz w:val="15"/>
          <w:szCs w:val="15"/>
          <w:color w:val="auto"/>
        </w:rPr>
        <w:t>Pursuant to the Company’s cash compensation program for directors, non-employee directors of the Company will receive an annual cash retainer of $40,000.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w:t>
      </w:r>
    </w:p>
    <w:p>
      <w:pPr>
        <w:spacing w:after="0" w:line="141" w:lineRule="exact"/>
        <w:rPr>
          <w:sz w:val="20"/>
          <w:szCs w:val="20"/>
          <w:color w:val="auto"/>
        </w:rPr>
      </w:pPr>
    </w:p>
    <w:p>
      <w:pPr>
        <w:ind w:left="1"/>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5"/>
          <w:szCs w:val="15"/>
          <w:b w:val="1"/>
          <w:bCs w:val="1"/>
          <w:i w:val="1"/>
          <w:iCs w:val="1"/>
          <w:color w:val="auto"/>
        </w:rPr>
        <w:t>Security Ownership of Certain Beneficial Owners and Management and Related Stockholder Matters</w:t>
      </w:r>
    </w:p>
    <w:p>
      <w:pPr>
        <w:spacing w:after="0" w:line="205" w:lineRule="exact"/>
        <w:rPr>
          <w:sz w:val="20"/>
          <w:szCs w:val="20"/>
          <w:color w:val="auto"/>
        </w:rPr>
      </w:pPr>
    </w:p>
    <w:p>
      <w:pPr>
        <w:ind w:left="1" w:right="240" w:firstLine="595"/>
        <w:spacing w:after="0" w:line="295" w:lineRule="auto"/>
        <w:rPr>
          <w:sz w:val="20"/>
          <w:szCs w:val="20"/>
          <w:color w:val="auto"/>
        </w:rPr>
      </w:pPr>
      <w:r>
        <w:rPr>
          <w:rFonts w:ascii="Times New Roman" w:cs="Times New Roman" w:eastAsia="Times New Roman" w:hAnsi="Times New Roman"/>
          <w:sz w:val="15"/>
          <w:szCs w:val="15"/>
          <w:color w:val="auto"/>
        </w:rPr>
        <w:t>The following table sets forth, as of February 28, 2025, certain information concerning the beneficial ownership of our common stock and Series A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ectPr>
          <w:pgSz w:w="11900" w:h="16838" w:orient="portrait"/>
          <w:cols w:equalWidth="0" w:num="1">
            <w:col w:w="11241"/>
          </w:cols>
          <w:pgMar w:left="319" w:top="116" w:right="339" w:bottom="1440" w:gutter="0" w:footer="0" w:header="0"/>
        </w:sect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type w:val="continuous"/>
        </w:sectPr>
      </w:pPr>
    </w:p>
    <w:bookmarkStart w:id="44" w:name="page45"/>
    <w:bookmarkEnd w:id="44"/>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1" w:right="200" w:firstLine="595"/>
        <w:spacing w:after="0" w:line="288" w:lineRule="auto"/>
        <w:rPr>
          <w:sz w:val="20"/>
          <w:szCs w:val="20"/>
          <w:color w:val="auto"/>
        </w:rPr>
      </w:pPr>
      <w:r>
        <w:rPr>
          <w:rFonts w:ascii="Times New Roman" w:cs="Times New Roman" w:eastAsia="Times New Roman" w:hAnsi="Times New Roman"/>
          <w:sz w:val="15"/>
          <w:szCs w:val="15"/>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February 28, 2025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43"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Shares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Series A</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Percent</w:t>
            </w:r>
          </w:p>
        </w:tc>
      </w:t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Percent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Preferred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of</w:t>
            </w:r>
          </w:p>
        </w:tc>
      </w:t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Series A</w:t>
            </w:r>
          </w:p>
        </w:tc>
      </w:t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Beneficially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Preferred</w:t>
            </w:r>
          </w:p>
        </w:tc>
      </w:tr>
      <w:tr>
        <w:trPr>
          <w:trHeight w:val="224"/>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and Address (1)</w:t>
            </w: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Owned (2)</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Stock (3)</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Stock (4)</w:t>
            </w:r>
          </w:p>
        </w:tc>
      </w:tr>
      <w:tr>
        <w:trPr>
          <w:trHeight w:val="198"/>
        </w:trPr>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5% Stockholders</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Czirr</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12,758,868(5)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10X Fund, L.P. (8)</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11,654,460(6)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Smith (9)</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Early Equities LLC (9)</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100,000(7)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E. Uihlein (11)</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45,523,946(12)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Benjamin S. Carson, Sr., M.D.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150,000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Gilbert F. Amelio, Ph.D.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375,614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Freeman</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865,134(10)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Joel Lewis</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1,760,974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Gilbert S. Omenn, M.D., Ph.D.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500,990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Marc Rubin, M.D.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358,146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E. Uihlein</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45,523,946(12)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Richard A. Zordani</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284,853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Elissa J. Schwartz, Ph.D.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241,000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Kary Eldred</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847,608(13)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Harold H. Shlevin, Ph.D.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610,206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Khurram Jamil, M.D.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185,000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639,405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All executive officers and directors as a group (13 persons)</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52,342,876(14)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167640</wp:posOffset>
            </wp:positionV>
            <wp:extent cx="107886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78865" cy="15875"/>
                    </a:xfrm>
                    <a:prstGeom prst="rect">
                      <a:avLst/>
                    </a:prstGeom>
                    <a:noFill/>
                  </pic:spPr>
                </pic:pic>
              </a:graphicData>
            </a:graphic>
          </wp:anchor>
        </w:drawing>
      </w:r>
    </w:p>
    <w:p>
      <w:pPr>
        <w:spacing w:after="0" w:line="3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 Less than 1%.</w:t>
      </w:r>
    </w:p>
    <w:p>
      <w:pPr>
        <w:spacing w:after="0" w:line="20" w:lineRule="exact"/>
        <w:rPr>
          <w:sz w:val="20"/>
          <w:szCs w:val="20"/>
          <w:color w:val="auto"/>
        </w:rPr>
      </w:pPr>
    </w:p>
    <w:p>
      <w:pPr>
        <w:ind w:left="441" w:hanging="441"/>
        <w:spacing w:after="0" w:line="243" w:lineRule="auto"/>
        <w:tabs>
          <w:tab w:leader="none" w:pos="44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indicated, the address for each named person is c/o Galectin Therapeutics Inc., 4960 Peachtree Industrial Blvd., Suite 240, Norcross, GA 30071.</w:t>
      </w:r>
    </w:p>
    <w:p>
      <w:pPr>
        <w:spacing w:after="0" w:line="1" w:lineRule="exact"/>
        <w:rPr>
          <w:rFonts w:ascii="Times New Roman" w:cs="Times New Roman" w:eastAsia="Times New Roman" w:hAnsi="Times New Roman"/>
          <w:sz w:val="17"/>
          <w:szCs w:val="17"/>
          <w:color w:val="auto"/>
        </w:rPr>
      </w:pPr>
    </w:p>
    <w:p>
      <w:pPr>
        <w:ind w:left="441" w:hanging="441"/>
        <w:spacing w:after="0" w:line="247" w:lineRule="auto"/>
        <w:tabs>
          <w:tab w:leader="none" w:pos="44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following number of shares of our common stock issuable upon exercise of outstanding stock options granted to our named executive officers and directors that are exercisable within 60 days after February 28, 2025.</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60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Options Exercisable</w:t>
            </w:r>
          </w:p>
        </w:tc>
      </w:tr>
      <w:tr>
        <w:trPr>
          <w:trHeight w:val="224"/>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Directors, Nominees and Named Executive Officers</w:t>
            </w: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Within 60 Days</w:t>
            </w:r>
          </w:p>
        </w:tc>
      </w:tr>
      <w:tr>
        <w:trPr>
          <w:trHeight w:val="198"/>
        </w:trPr>
        <w:tc>
          <w:tcPr>
            <w:tcW w:w="20" w:type="dxa"/>
            <w:vAlign w:val="bottom"/>
            <w:tcBorders>
              <w:top w:val="single" w:sz="8" w:color="auto"/>
            </w:tcBorders>
          </w:tcPr>
          <w:p>
            <w:pPr>
              <w:spacing w:after="0"/>
              <w:rPr>
                <w:sz w:val="17"/>
                <w:szCs w:val="17"/>
                <w:color w:val="auto"/>
              </w:rPr>
            </w:pPr>
          </w:p>
        </w:tc>
        <w:tc>
          <w:tcPr>
            <w:tcW w:w="9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Benjamin S. Carson, Sr., M.D.</w:t>
            </w:r>
          </w:p>
        </w:tc>
        <w:tc>
          <w:tcPr>
            <w:tcW w:w="10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7"/>
                <w:szCs w:val="17"/>
                <w:color w:val="auto"/>
              </w:rPr>
              <w:t>Gilbert F. Amelio, Ph.D.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315,000</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 Rubin, M.D.</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344,565</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7"/>
                <w:szCs w:val="17"/>
                <w:color w:val="auto"/>
              </w:rPr>
              <w:t>Gilbert S. Omenn, M.D., Ph.D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418,750</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Freeman</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403,125</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7"/>
                <w:szCs w:val="17"/>
                <w:color w:val="auto"/>
              </w:rPr>
              <w:t>Kary Eldred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341,875</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774,250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7"/>
                <w:szCs w:val="17"/>
                <w:color w:val="auto"/>
              </w:rPr>
              <w:t>Richard E. Uihlein.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306,362</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Harold Shlevin, Ph.D.</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595,000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7"/>
                <w:szCs w:val="17"/>
                <w:color w:val="auto"/>
              </w:rPr>
              <w:t>Richard A. Zordani</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Elissa J. Schwartz, Ph.D.</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7"/>
                <w:szCs w:val="17"/>
                <w:color w:val="auto"/>
              </w:rPr>
              <w:t>Khurram Jamil, M.D.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Callicutt</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571,706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4,825,633</w:t>
            </w:r>
          </w:p>
        </w:tc>
        <w:tc>
          <w:tcPr>
            <w:tcW w:w="100" w:type="dxa"/>
            <w:vAlign w:val="bottom"/>
          </w:tcPr>
          <w:p>
            <w:pPr>
              <w:spacing w:after="0"/>
              <w:rPr>
                <w:sz w:val="17"/>
                <w:szCs w:val="17"/>
                <w:color w:val="auto"/>
              </w:rPr>
            </w:pPr>
          </w:p>
        </w:tc>
      </w:tr>
    </w:tbl>
    <w:p>
      <w:pPr>
        <w:spacing w:after="0" w:line="182" w:lineRule="exact"/>
        <w:rPr>
          <w:sz w:val="20"/>
          <w:szCs w:val="20"/>
          <w:color w:val="auto"/>
        </w:rPr>
      </w:pPr>
    </w:p>
    <w:p>
      <w:pPr>
        <w:jc w:val="both"/>
        <w:ind w:left="441" w:hanging="441"/>
        <w:spacing w:after="0" w:line="250" w:lineRule="auto"/>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named person and group included in this table, percentage ownership of our common stock is calculated by dividing the number of shares of our common stock beneficially owned by such person or group by the sum of (i) 63,168,196 shares of our common stock outstanding as of February 28, 2025 and (ii) the number of shares of our common stock that such person has the right to acquire within 60 days after February 28, 2025.</w:t>
      </w:r>
    </w:p>
    <w:p>
      <w:pPr>
        <w:spacing w:after="0" w:line="1"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1,235,000 shares of Series A preferred stock outstanding as of February 28, 2025.</w:t>
      </w:r>
    </w:p>
    <w:p>
      <w:pPr>
        <w:spacing w:after="0" w:line="2" w:lineRule="exact"/>
        <w:rPr>
          <w:rFonts w:ascii="Times New Roman" w:cs="Times New Roman" w:eastAsia="Times New Roman" w:hAnsi="Times New Roman"/>
          <w:sz w:val="17"/>
          <w:szCs w:val="17"/>
          <w:color w:val="auto"/>
        </w:rPr>
      </w:pPr>
    </w:p>
    <w:p>
      <w:pPr>
        <w:jc w:val="both"/>
        <w:ind w:left="441" w:hanging="441"/>
        <w:spacing w:after="0" w:line="243" w:lineRule="auto"/>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5,922,207 shares of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764,616 shares of common stock owned directly by Mr. Czirr, 323,125 shares issuable upon the exercise of vested stock options owned by Mr. Czirr, and 16,667 shares of our common stock issuable upon conversion of Series A preferred stock owned by Mr. Czirr.</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5,922,207 shares of common shares, and (ii) 5,732,253 common shares issuable upon exercise of warrants.</w:t>
      </w:r>
    </w:p>
    <w:p>
      <w:pPr>
        <w:spacing w:after="0" w:line="2" w:lineRule="exact"/>
        <w:rPr>
          <w:rFonts w:ascii="Times New Roman" w:cs="Times New Roman" w:eastAsia="Times New Roman" w:hAnsi="Times New Roman"/>
          <w:sz w:val="17"/>
          <w:szCs w:val="17"/>
          <w:color w:val="auto"/>
        </w:rPr>
      </w:pPr>
    </w:p>
    <w:p>
      <w:pPr>
        <w:ind w:left="441" w:hanging="441"/>
        <w:spacing w:after="0" w:line="243" w:lineRule="auto"/>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Smith is the manager of Early Equities LLC, a Connecticut limited liability company, and may be deemed to have voting and investment control over, but disclaims beneficial ownership of, the shares of Series A preferred stock.</w:t>
      </w:r>
    </w:p>
    <w:p>
      <w:pPr>
        <w:spacing w:after="0" w:line="1"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Contact: c/o 10X Capital Management, LLC at Investment Law Group attn: Bob Mottern 545 Dutch Valley Road NE, Suite A, Atlanta, GA 30324.</w:t>
      </w:r>
    </w:p>
    <w:p>
      <w:pPr>
        <w:spacing w:after="0" w:line="2"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Contact: c/o David Smith 34 Shorehaven Road E., Norwalk, CT 06855.</w:t>
      </w:r>
    </w:p>
    <w:p>
      <w:pPr>
        <w:spacing w:after="0" w:line="2" w:lineRule="exact"/>
        <w:rPr>
          <w:rFonts w:ascii="Times New Roman" w:cs="Times New Roman" w:eastAsia="Times New Roman" w:hAnsi="Times New Roman"/>
          <w:sz w:val="17"/>
          <w:szCs w:val="17"/>
          <w:color w:val="auto"/>
        </w:rPr>
      </w:pPr>
    </w:p>
    <w:p>
      <w:pPr>
        <w:jc w:val="both"/>
        <w:ind w:left="441" w:hanging="441"/>
        <w:spacing w:after="0" w:line="243" w:lineRule="auto"/>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243,745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Contact: c/o Uline Corporation, 12575 Uline Drive, Pleasant Prairie, WI 53158</w:t>
      </w:r>
    </w:p>
    <w:p>
      <w:pPr>
        <w:spacing w:after="0" w:line="2" w:lineRule="exact"/>
        <w:rPr>
          <w:rFonts w:ascii="Times New Roman" w:cs="Times New Roman" w:eastAsia="Times New Roman" w:hAnsi="Times New Roman"/>
          <w:sz w:val="17"/>
          <w:szCs w:val="17"/>
          <w:color w:val="auto"/>
        </w:rPr>
      </w:pPr>
    </w:p>
    <w:p>
      <w:pPr>
        <w:jc w:val="both"/>
        <w:ind w:left="441" w:hanging="441"/>
        <w:spacing w:after="0" w:line="244" w:lineRule="auto"/>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10,338,981 shares of common stock, (ii) 2,300,180 common shares issuable upon the exercise of common stock purchase warrants, (iii) 306,362 common shares issuable upon the exercise of common stock options, (iv) 83,334 common shares issuable upon conversion of Series C preferred non-voting stock, (iv) 7,125,228 common shares issuable upon conversion of convertible notes payable and (v) 25,369,861 common shares issuable upon conversion of convertible line of credit.</w:t>
      </w:r>
    </w:p>
    <w:p>
      <w:pPr>
        <w:sectPr>
          <w:pgSz w:w="11900" w:h="16838" w:orient="portrait"/>
          <w:cols w:equalWidth="0" w:num="1">
            <w:col w:w="11241"/>
          </w:cols>
          <w:pgMar w:left="319" w:top="115" w:right="339" w:bottom="0" w:gutter="0" w:footer="0" w:header="0"/>
        </w:sectPr>
      </w:pPr>
    </w:p>
    <w:bookmarkStart w:id="45" w:name="page46"/>
    <w:bookmarkEnd w:id="45"/>
    <w:p>
      <w:pPr>
        <w:jc w:val="both"/>
        <w:ind w:left="441" w:hanging="441"/>
        <w:spacing w:after="0" w:line="251" w:lineRule="auto"/>
        <w:tabs>
          <w:tab w:leader="none" w:pos="44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63,682 shares of common stock, 6,599 common stock purchase warrants, and 311,875 common stock options personally owned by Mr. Eldred and 431,527 shares of Common Stock and 311,964 Common Stock purchase warrants owned by two private foundations over which Mr. Eldred shares management control, and 4,425 shares of Common Stock held in a trust for a minor child; however, Mr. Eldred disclaims beneficial ownership of the shares and warrants owned by such private foundations and trust.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05" w:lineRule="exact"/>
        <w:rPr>
          <w:sz w:val="20"/>
          <w:szCs w:val="20"/>
          <w:color w:val="auto"/>
        </w:rPr>
      </w:pPr>
    </w:p>
    <w:p>
      <w:pPr>
        <w:ind w:right="40" w:firstLine="595"/>
        <w:spacing w:after="0" w:line="267" w:lineRule="auto"/>
        <w:rPr>
          <w:sz w:val="20"/>
          <w:szCs w:val="20"/>
          <w:color w:val="auto"/>
        </w:rPr>
      </w:pPr>
      <w:r>
        <w:rPr>
          <w:rFonts w:ascii="Times New Roman" w:cs="Times New Roman" w:eastAsia="Times New Roman" w:hAnsi="Times New Roman"/>
          <w:sz w:val="17"/>
          <w:szCs w:val="17"/>
          <w:color w:val="auto"/>
        </w:rPr>
        <w:t>The following table provides information as of December 31, 2024, about the securities issued, or authorized for future issuance, under our equity compensation plans, consisting of our 2009 Incentive Compensation Plan and our 2019 Omnibus Equity Incentive Plan at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Number of</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securities</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remaining</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available for</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future</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issuance</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equity</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compensation</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2"/>
              </w:rPr>
              <w:t>plans</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Number of Securities</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(excluding</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to be issued upon</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4"/>
              </w:rPr>
              <w:t>price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securities</w:t>
            </w:r>
          </w:p>
        </w:tc>
      </w:tr>
      <w:tr>
        <w:trPr>
          <w:trHeight w:val="198"/>
        </w:trPr>
        <w:tc>
          <w:tcPr>
            <w:tcW w:w="7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exercise of</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reflected in</w:t>
            </w:r>
          </w:p>
        </w:tc>
      </w:tr>
      <w:tr>
        <w:trPr>
          <w:trHeight w:val="224"/>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0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outstanding options</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column (a))</w:t>
            </w:r>
          </w:p>
        </w:tc>
      </w:tr>
      <w:tr>
        <w:trPr>
          <w:trHeight w:val="198"/>
        </w:trPr>
        <w:tc>
          <w:tcPr>
            <w:tcW w:w="6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0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6,854,758</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4,135,213</w:t>
            </w:r>
          </w:p>
        </w:tc>
        <w:tc>
          <w:tcPr>
            <w:tcW w:w="100" w:type="dxa"/>
            <w:vAlign w:val="bottom"/>
            <w:shd w:val="clear" w:color="auto" w:fill="CCEEFF"/>
          </w:tcPr>
          <w:p>
            <w:pPr>
              <w:spacing w:after="0"/>
              <w:rPr>
                <w:sz w:val="17"/>
                <w:szCs w:val="17"/>
                <w:color w:val="auto"/>
              </w:rPr>
            </w:pPr>
          </w:p>
        </w:tc>
      </w:tr>
      <w:tr>
        <w:trPr>
          <w:trHeight w:val="397"/>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13.</w:t>
            </w: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Certain Relationships, Related Transactions and Director Independence</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05" w:lineRule="exact"/>
        <w:rPr>
          <w:sz w:val="20"/>
          <w:szCs w:val="20"/>
          <w:color w:val="auto"/>
        </w:rPr>
      </w:pPr>
    </w:p>
    <w:p>
      <w:pPr>
        <w:jc w:val="both"/>
        <w:ind w:right="160" w:firstLine="595"/>
        <w:spacing w:after="0" w:line="267" w:lineRule="auto"/>
        <w:rPr>
          <w:sz w:val="20"/>
          <w:szCs w:val="20"/>
          <w:color w:val="auto"/>
        </w:rPr>
      </w:pPr>
      <w:r>
        <w:rPr>
          <w:rFonts w:ascii="Times New Roman" w:cs="Times New Roman" w:eastAsia="Times New Roman" w:hAnsi="Times New Roman"/>
          <w:sz w:val="17"/>
          <w:szCs w:val="17"/>
          <w:color w:val="auto"/>
        </w:rPr>
        <w:t>Except as set forth below, since the beginning of fiscal year 2024, we did not participate in any transactions in which any of the Company’s executive officers, any beneficial owner of more than 5% of our common stock, nor any of their immediate family members, had a direct or indirect material interest.</w:t>
      </w:r>
    </w:p>
    <w:p>
      <w:pPr>
        <w:spacing w:after="0" w:line="160" w:lineRule="exact"/>
        <w:rPr>
          <w:sz w:val="20"/>
          <w:szCs w:val="20"/>
          <w:color w:val="auto"/>
        </w:rPr>
      </w:pPr>
    </w:p>
    <w:p>
      <w:pPr>
        <w:ind w:firstLine="595"/>
        <w:spacing w:after="0" w:line="255" w:lineRule="auto"/>
        <w:rPr>
          <w:sz w:val="20"/>
          <w:szCs w:val="20"/>
          <w:color w:val="auto"/>
        </w:rPr>
      </w:pPr>
      <w:r>
        <w:rPr>
          <w:rFonts w:ascii="Times New Roman" w:cs="Times New Roman" w:eastAsia="Times New Roman" w:hAnsi="Times New Roman"/>
          <w:sz w:val="17"/>
          <w:szCs w:val="17"/>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2023.</w:t>
      </w:r>
    </w:p>
    <w:p>
      <w:pPr>
        <w:spacing w:after="0" w:line="171" w:lineRule="exact"/>
        <w:rPr>
          <w:sz w:val="20"/>
          <w:szCs w:val="20"/>
          <w:color w:val="auto"/>
        </w:rPr>
      </w:pPr>
    </w:p>
    <w:p>
      <w:pPr>
        <w:ind w:right="220" w:firstLine="595"/>
        <w:spacing w:after="0" w:line="255" w:lineRule="auto"/>
        <w:rPr>
          <w:sz w:val="20"/>
          <w:szCs w:val="20"/>
          <w:color w:val="auto"/>
        </w:rPr>
      </w:pPr>
      <w:r>
        <w:rPr>
          <w:rFonts w:ascii="Times New Roman" w:cs="Times New Roman" w:eastAsia="Times New Roman" w:hAnsi="Times New Roman"/>
          <w:sz w:val="17"/>
          <w:szCs w:val="17"/>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171" w:lineRule="exact"/>
        <w:rPr>
          <w:sz w:val="20"/>
          <w:szCs w:val="20"/>
          <w:color w:val="auto"/>
        </w:rPr>
      </w:pPr>
    </w:p>
    <w:p>
      <w:pPr>
        <w:ind w:right="80" w:firstLine="595"/>
        <w:spacing w:after="0" w:line="255" w:lineRule="auto"/>
        <w:rPr>
          <w:sz w:val="20"/>
          <w:szCs w:val="20"/>
          <w:color w:val="auto"/>
        </w:rPr>
      </w:pPr>
      <w:r>
        <w:rPr>
          <w:rFonts w:ascii="Times New Roman" w:cs="Times New Roman" w:eastAsia="Times New Roman" w:hAnsi="Times New Roman"/>
          <w:sz w:val="17"/>
          <w:szCs w:val="17"/>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w:t>
      </w:r>
    </w:p>
    <w:p>
      <w:pPr>
        <w:spacing w:after="0" w:line="171" w:lineRule="exact"/>
        <w:rPr>
          <w:sz w:val="20"/>
          <w:szCs w:val="20"/>
          <w:color w:val="auto"/>
        </w:rPr>
      </w:pPr>
    </w:p>
    <w:p>
      <w:pPr>
        <w:ind w:right="40" w:firstLine="595"/>
        <w:spacing w:after="0" w:line="251" w:lineRule="auto"/>
        <w:rPr>
          <w:sz w:val="20"/>
          <w:szCs w:val="20"/>
          <w:color w:val="auto"/>
        </w:rPr>
      </w:pPr>
      <w:r>
        <w:rPr>
          <w:rFonts w:ascii="Times New Roman" w:cs="Times New Roman" w:eastAsia="Times New Roman" w:hAnsi="Times New Roman"/>
          <w:sz w:val="17"/>
          <w:szCs w:val="17"/>
          <w:color w:val="auto"/>
        </w:rPr>
        <w:t>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4" w:lineRule="exact"/>
        <w:rPr>
          <w:sz w:val="20"/>
          <w:szCs w:val="20"/>
          <w:color w:val="auto"/>
        </w:rPr>
      </w:pPr>
    </w:p>
    <w:p>
      <w:pPr>
        <w:ind w:firstLine="595"/>
        <w:spacing w:after="0" w:line="251" w:lineRule="auto"/>
        <w:rPr>
          <w:sz w:val="20"/>
          <w:szCs w:val="20"/>
          <w:color w:val="auto"/>
        </w:rPr>
      </w:pPr>
      <w:r>
        <w:rPr>
          <w:rFonts w:ascii="Times New Roman" w:cs="Times New Roman" w:eastAsia="Times New Roman" w:hAnsi="Times New Roman"/>
          <w:sz w:val="17"/>
          <w:szCs w:val="17"/>
          <w:color w:val="auto"/>
        </w:rPr>
        <w:t>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74"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On November 14, 2024, the Company and Richard E. Uihlein (the “Lender”) entered into an additional Supplemental Line of Credit Letter Agreement (the “November 2024 Supplemental Credit Agreement”), pursuant to which the Lender shall provide the Company a line of credit of up to $6.0 million (the “November 2024 Supplemental Line of Credit”) to finance the Company’s working capital needs. The Company may draw upon the November 2024 Supplemental Line of Credit through March 31, 2025.</w:t>
      </w:r>
    </w:p>
    <w:p>
      <w:pPr>
        <w:spacing w:after="0" w:line="174"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Each advance made pursuant to the November 2024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Only with the consent of the Lender, may the Promissory Notes be prepaid, in whole or in part, at any time without premium or penalty, but with interest on the amount or amounts prepaid.</w:t>
      </w:r>
    </w:p>
    <w:p>
      <w:pPr>
        <w:spacing w:after="0" w:line="174" w:lineRule="exact"/>
        <w:rPr>
          <w:sz w:val="20"/>
          <w:szCs w:val="20"/>
          <w:color w:val="auto"/>
        </w:rPr>
      </w:pPr>
    </w:p>
    <w:p>
      <w:pPr>
        <w:ind w:right="140" w:firstLine="595"/>
        <w:spacing w:after="0" w:line="255" w:lineRule="auto"/>
        <w:rPr>
          <w:sz w:val="20"/>
          <w:szCs w:val="20"/>
          <w:color w:val="auto"/>
        </w:rPr>
      </w:pPr>
      <w:r>
        <w:rPr>
          <w:rFonts w:ascii="Times New Roman" w:cs="Times New Roman" w:eastAsia="Times New Roman" w:hAnsi="Times New Roman"/>
          <w:sz w:val="17"/>
          <w:szCs w:val="17"/>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In connection with the November 2024 Supplemental Credit Agreement, the Company agreed to issue the Lender warrants to purchase up to an aggregate of</w:t>
      </w:r>
    </w:p>
    <w:p>
      <w:pPr>
        <w:spacing w:after="0" w:line="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5"/>
          <w:szCs w:val="15"/>
          <w:color w:val="auto"/>
        </w:rPr>
        <w:t>120,000 shares of the Company’s common stock, par value $0.001 per share (collectively, the “Warrants”). The Company shall issue to the Lender Warrants ratably, upon borrowings under the November 2024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05" w:lineRule="exact"/>
        <w:rPr>
          <w:sz w:val="20"/>
          <w:szCs w:val="20"/>
          <w:color w:val="auto"/>
        </w:rPr>
      </w:pPr>
    </w:p>
    <w:p>
      <w:pPr>
        <w:ind w:right="340" w:firstLine="595"/>
        <w:spacing w:after="0" w:line="267" w:lineRule="auto"/>
        <w:rPr>
          <w:sz w:val="20"/>
          <w:szCs w:val="20"/>
          <w:color w:val="auto"/>
        </w:rPr>
      </w:pPr>
      <w:r>
        <w:rPr>
          <w:rFonts w:ascii="Times New Roman" w:cs="Times New Roman" w:eastAsia="Times New Roman" w:hAnsi="Times New Roman"/>
          <w:sz w:val="17"/>
          <w:szCs w:val="17"/>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Determination of Director Independence</w:t>
      </w:r>
    </w:p>
    <w:p>
      <w:pPr>
        <w:spacing w:after="0" w:line="205" w:lineRule="exact"/>
        <w:rPr>
          <w:sz w:val="20"/>
          <w:szCs w:val="20"/>
          <w:color w:val="auto"/>
        </w:rPr>
      </w:pPr>
    </w:p>
    <w:p>
      <w:pPr>
        <w:jc w:val="both"/>
        <w:ind w:right="20" w:firstLine="595"/>
        <w:spacing w:after="0" w:line="291" w:lineRule="auto"/>
        <w:rPr>
          <w:sz w:val="20"/>
          <w:szCs w:val="20"/>
          <w:color w:val="auto"/>
        </w:rPr>
      </w:pPr>
      <w:r>
        <w:rPr>
          <w:rFonts w:ascii="Times New Roman" w:cs="Times New Roman" w:eastAsia="Times New Roman" w:hAnsi="Times New Roman"/>
          <w:sz w:val="15"/>
          <w:szCs w:val="15"/>
          <w:color w:val="auto"/>
        </w:rPr>
        <w:t>Our board of directors has reviewed the materiality of any relationship that each of our directors has with the Company, either directly or indirectly. Based upon this review, our board has determined that all of our directors other than Mr. Lewis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w:t>
      </w:r>
    </w:p>
    <w:p>
      <w:pPr>
        <w:sectPr>
          <w:pgSz w:w="11900" w:h="16838" w:orient="portrait"/>
          <w:cols w:equalWidth="0" w:num="1">
            <w:col w:w="11240"/>
          </w:cols>
          <w:pgMar w:left="320" w:top="116" w:right="339" w:bottom="0" w:gutter="0" w:footer="0" w:header="0"/>
        </w:sectPr>
      </w:pPr>
    </w:p>
    <w:bookmarkStart w:id="47" w:name="page48"/>
    <w:bookmarkEnd w:id="47"/>
    <w:p>
      <w:pPr>
        <w:spacing w:after="0" w:line="251" w:lineRule="auto"/>
        <w:rPr>
          <w:sz w:val="20"/>
          <w:szCs w:val="20"/>
          <w:color w:val="auto"/>
        </w:rPr>
      </w:pPr>
      <w:r>
        <w:rPr>
          <w:rFonts w:ascii="Times New Roman" w:cs="Times New Roman" w:eastAsia="Times New Roman" w:hAnsi="Times New Roman"/>
          <w:sz w:val="17"/>
          <w:szCs w:val="17"/>
          <w:color w:val="auto"/>
        </w:rPr>
        <w:t>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Amelio and Mr. Freeman satisfy the independence standards for such committee established by Rule 10C-1 under the Exchange Act, the SEC and the NASDAQ Marketplace Rules, as applicable.</w:t>
      </w:r>
    </w:p>
    <w:p>
      <w:pPr>
        <w:spacing w:after="0" w:line="3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040"/>
          </w:cols>
          <w:pgMar w:left="320" w:top="123" w:right="539" w:bottom="1440" w:gutter="0" w:footer="0" w:header="0"/>
        </w:sectPr>
      </w:pPr>
    </w:p>
    <w:bookmarkStart w:id="48" w:name="page49"/>
    <w:bookmarkEnd w:id="48"/>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jc w:val="both"/>
        <w:ind w:left="1" w:right="440" w:firstLine="595"/>
        <w:spacing w:after="0" w:line="295" w:lineRule="auto"/>
        <w:rPr>
          <w:sz w:val="20"/>
          <w:szCs w:val="20"/>
          <w:color w:val="auto"/>
        </w:rPr>
      </w:pPr>
      <w:r>
        <w:rPr>
          <w:rFonts w:ascii="Times New Roman" w:cs="Times New Roman" w:eastAsia="Times New Roman" w:hAnsi="Times New Roman"/>
          <w:sz w:val="15"/>
          <w:szCs w:val="15"/>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40" w:lineRule="exact"/>
        <w:rPr>
          <w:sz w:val="20"/>
          <w:szCs w:val="20"/>
          <w:color w:val="auto"/>
        </w:rPr>
      </w:pPr>
    </w:p>
    <w:p>
      <w:pPr>
        <w:ind w:left="1"/>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5"/>
          <w:szCs w:val="15"/>
          <w:b w:val="1"/>
          <w:bCs w:val="1"/>
          <w:i w:val="1"/>
          <w:iCs w:val="1"/>
          <w:color w:val="auto"/>
        </w:rPr>
        <w:t>Principal Accountant Fees and Services</w:t>
      </w:r>
    </w:p>
    <w:p>
      <w:pPr>
        <w:spacing w:after="0" w:line="2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Board of Directors has appointed Cherry Bekaert LLP as our independent auditors for the fiscal year ending December 31, 2024.</w:t>
      </w:r>
    </w:p>
    <w:p>
      <w:pPr>
        <w:spacing w:after="0" w:line="197"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100" w:type="dxa"/>
            <w:vAlign w:val="bottom"/>
            <w:gridSpan w:val="2"/>
          </w:tcPr>
          <w:p>
            <w:pPr>
              <w:jc w:val="right"/>
              <w:ind w:right="1657"/>
              <w:spacing w:after="0"/>
              <w:rPr>
                <w:sz w:val="20"/>
                <w:szCs w:val="20"/>
                <w:color w:val="auto"/>
              </w:rPr>
            </w:pPr>
            <w:r>
              <w:rPr>
                <w:rFonts w:ascii="Times New Roman" w:cs="Times New Roman" w:eastAsia="Times New Roman" w:hAnsi="Times New Roman"/>
                <w:sz w:val="17"/>
                <w:szCs w:val="17"/>
                <w:b w:val="1"/>
                <w:bCs w:val="1"/>
                <w:color w:val="auto"/>
              </w:rPr>
              <w:t>FEES PAID TO CHERRY BEKAERT LLP</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3"/>
              </w:rPr>
              <w:t>Fiscal</w:t>
            </w: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3"/>
              </w:rPr>
              <w:t>Fiscal</w:t>
            </w:r>
          </w:p>
        </w:tc>
      </w:tr>
      <w:tr>
        <w:trPr>
          <w:trHeight w:val="198"/>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89"/>
              </w:rPr>
              <w:t>Year</w:t>
            </w: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89"/>
              </w:rPr>
              <w:t>Year</w:t>
            </w:r>
          </w:p>
        </w:tc>
      </w:tr>
      <w:tr>
        <w:trPr>
          <w:trHeight w:val="224"/>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 (1)</w:t>
            </w:r>
          </w:p>
        </w:tc>
        <w:tc>
          <w:tcPr>
            <w:tcW w:w="58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177,000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 (2)</w:t>
            </w:r>
          </w:p>
        </w:tc>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17,237</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8,000</w:t>
            </w: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5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40,194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48,812</w:t>
            </w: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20" w:type="dxa"/>
            <w:vAlign w:val="bottom"/>
          </w:tcPr>
          <w:p>
            <w:pPr>
              <w:spacing w:after="0"/>
              <w:rPr>
                <w:sz w:val="17"/>
                <w:szCs w:val="17"/>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Fees</w:t>
            </w:r>
          </w:p>
        </w:tc>
        <w:tc>
          <w:tcPr>
            <w:tcW w:w="5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239,431</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233,812</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80" w:lineRule="exact"/>
        <w:rPr>
          <w:sz w:val="20"/>
          <w:szCs w:val="20"/>
          <w:color w:val="auto"/>
        </w:rPr>
      </w:pPr>
    </w:p>
    <w:p>
      <w:pPr>
        <w:jc w:val="both"/>
        <w:ind w:left="441" w:hanging="441"/>
        <w:spacing w:after="0" w:line="251" w:lineRule="auto"/>
        <w:tabs>
          <w:tab w:leader="none" w:pos="44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Audit Fees. </w:t>
      </w:r>
      <w:r>
        <w:rPr>
          <w:rFonts w:ascii="Times New Roman" w:cs="Times New Roman" w:eastAsia="Times New Roman" w:hAnsi="Times New Roman"/>
          <w:sz w:val="17"/>
          <w:szCs w:val="17"/>
          <w:color w:val="auto"/>
        </w:rPr>
        <w:t>These are fees for professional services for the audit of our annual financial statements dated December 31, 2024 and 2023 included in our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Reports on Form 10-K for fiscal years then ended, and review of financial statements included in our Quarterly Reports on Form 10-Q for each fiscal quarter during the 2024 and 2023 fiscal years.</w:t>
      </w:r>
    </w:p>
    <w:p>
      <w:pPr>
        <w:jc w:val="both"/>
        <w:ind w:left="441" w:hanging="441"/>
        <w:spacing w:after="0" w:line="245" w:lineRule="auto"/>
        <w:tabs>
          <w:tab w:leader="none" w:pos="44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Audit-Related Fees</w:t>
      </w:r>
      <w:r>
        <w:rPr>
          <w:rFonts w:ascii="Times New Roman" w:cs="Times New Roman" w:eastAsia="Times New Roman" w:hAnsi="Times New Roman"/>
          <w:sz w:val="17"/>
          <w:szCs w:val="17"/>
          <w:color w:val="auto"/>
        </w:rPr>
        <w:t>. These are fees for assurance and related services that are reasonably related to the performance of the audit or review of our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78" w:lineRule="exact"/>
        <w:rPr>
          <w:sz w:val="20"/>
          <w:szCs w:val="20"/>
          <w:color w:val="auto"/>
        </w:rPr>
      </w:pPr>
    </w:p>
    <w:p>
      <w:pPr>
        <w:ind w:left="1" w:right="180"/>
        <w:spacing w:after="0" w:line="267" w:lineRule="auto"/>
        <w:rPr>
          <w:sz w:val="20"/>
          <w:szCs w:val="20"/>
          <w:color w:val="auto"/>
        </w:rPr>
      </w:pPr>
      <w:r>
        <w:rPr>
          <w:rFonts w:ascii="Times New Roman" w:cs="Times New Roman" w:eastAsia="Times New Roman" w:hAnsi="Times New Roman"/>
          <w:sz w:val="17"/>
          <w:szCs w:val="17"/>
          <w:color w:val="auto"/>
        </w:rPr>
        <w:t>The Audit Committee has considered whether the provision of non-core audit services to Galectin Therapeutics by Cherry Bekaert LLP is compatible with maintaining independence.</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Pre-Approval Policy and Procedures</w:t>
      </w:r>
    </w:p>
    <w:p>
      <w:pPr>
        <w:spacing w:after="0" w:line="203" w:lineRule="exact"/>
        <w:rPr>
          <w:sz w:val="20"/>
          <w:szCs w:val="20"/>
          <w:color w:val="auto"/>
        </w:rPr>
      </w:pPr>
    </w:p>
    <w:p>
      <w:pPr>
        <w:ind w:left="1" w:right="100" w:firstLine="595"/>
        <w:spacing w:after="0" w:line="249" w:lineRule="auto"/>
        <w:rPr>
          <w:sz w:val="20"/>
          <w:szCs w:val="20"/>
          <w:color w:val="auto"/>
        </w:rPr>
      </w:pPr>
      <w:r>
        <w:rPr>
          <w:rFonts w:ascii="Times New Roman" w:cs="Times New Roman" w:eastAsia="Times New Roman" w:hAnsi="Times New Roman"/>
          <w:sz w:val="17"/>
          <w:szCs w:val="17"/>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77" w:lineRule="exact"/>
        <w:rPr>
          <w:sz w:val="20"/>
          <w:szCs w:val="20"/>
          <w:color w:val="auto"/>
        </w:rPr>
      </w:pPr>
    </w:p>
    <w:p>
      <w:pPr>
        <w:ind w:left="1" w:right="200" w:firstLine="595"/>
        <w:spacing w:after="0" w:line="255" w:lineRule="auto"/>
        <w:rPr>
          <w:sz w:val="20"/>
          <w:szCs w:val="20"/>
          <w:color w:val="auto"/>
        </w:rPr>
      </w:pPr>
      <w:r>
        <w:rPr>
          <w:rFonts w:ascii="Times New Roman" w:cs="Times New Roman" w:eastAsia="Times New Roman" w:hAnsi="Times New Roman"/>
          <w:sz w:val="17"/>
          <w:szCs w:val="17"/>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71" w:lineRule="exact"/>
        <w:rPr>
          <w:sz w:val="20"/>
          <w:szCs w:val="20"/>
          <w:color w:val="auto"/>
        </w:rPr>
      </w:pPr>
    </w:p>
    <w:p>
      <w:pPr>
        <w:ind w:left="1" w:right="560" w:firstLine="595"/>
        <w:spacing w:after="0" w:line="267" w:lineRule="auto"/>
        <w:rPr>
          <w:sz w:val="20"/>
          <w:szCs w:val="20"/>
          <w:color w:val="auto"/>
        </w:rPr>
      </w:pPr>
      <w:r>
        <w:rPr>
          <w:rFonts w:ascii="Times New Roman" w:cs="Times New Roman" w:eastAsia="Times New Roman" w:hAnsi="Times New Roman"/>
          <w:sz w:val="17"/>
          <w:szCs w:val="17"/>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5"/>
          <w:szCs w:val="15"/>
          <w:b w:val="1"/>
          <w:bCs w:val="1"/>
          <w:i w:val="1"/>
          <w:iCs w:val="1"/>
          <w:color w:val="auto"/>
        </w:rPr>
        <w:t>Exhibits and Financial Statement Schedules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1. Consolidated Financial Statement Schedules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Consolidated Financial Statements are filed as part of this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Consolidated Financial Statement Schedules</w:t>
      </w:r>
    </w:p>
    <w:p>
      <w:pPr>
        <w:spacing w:after="0" w:line="201"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7"/>
          <w:szCs w:val="17"/>
          <w:color w:val="auto"/>
        </w:rPr>
        <w:t>All schedules are omitted because of the absence of conditions under which they are required or because the required information is included in the Consolidated Financial Statements or notes thereto.</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 Exhibits</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80" w:type="dxa"/>
            <w:vAlign w:val="bottom"/>
            <w:gridSpan w:val="14"/>
          </w:tcPr>
          <w:p>
            <w:pPr>
              <w:ind w:left="140"/>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3.1</w:t>
            </w:r>
          </w:p>
        </w:tc>
        <w:tc>
          <w:tcPr>
            <w:tcW w:w="10120" w:type="dxa"/>
            <w:vAlign w:val="bottom"/>
            <w:tcBorders>
              <w:bottom w:val="single" w:sz="8" w:color="0000EE"/>
            </w:tcBorders>
            <w:gridSpan w:val="23"/>
            <w:shd w:val="clear" w:color="auto" w:fill="CCEEFF"/>
          </w:tcPr>
          <w:p>
            <w:pPr>
              <w:spacing w:after="0" w:line="161" w:lineRule="exact"/>
              <w:rPr>
                <w:rFonts w:ascii="Times New Roman" w:cs="Times New Roman" w:eastAsia="Times New Roman" w:hAnsi="Times New Roman"/>
                <w:sz w:val="17"/>
                <w:szCs w:val="17"/>
                <w:color w:val="0000EE"/>
                <w:w w:val="97"/>
              </w:rPr>
            </w:pPr>
            <w:hyperlink r:id="rId63">
              <w:r>
                <w:rPr>
                  <w:rFonts w:ascii="Times New Roman" w:cs="Times New Roman" w:eastAsia="Times New Roman" w:hAnsi="Times New Roman"/>
                  <w:sz w:val="17"/>
                  <w:szCs w:val="17"/>
                  <w:color w:val="0000EE"/>
                  <w:w w:val="97"/>
                </w:rPr>
                <w:t>Amended and Restated Articles of Incorporation of Galectin Therapeutics Inc., as amended (Incorporated by reference to the Company’s Current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120" w:type="dxa"/>
            <w:vAlign w:val="bottom"/>
            <w:gridSpan w:val="23"/>
            <w:shd w:val="clear" w:color="auto" w:fill="CCEEFF"/>
          </w:tcPr>
          <w:p>
            <w:pPr>
              <w:spacing w:after="0" w:line="179" w:lineRule="exact"/>
              <w:rPr>
                <w:rFonts w:ascii="Times New Roman" w:cs="Times New Roman" w:eastAsia="Times New Roman" w:hAnsi="Times New Roman"/>
                <w:sz w:val="17"/>
                <w:szCs w:val="17"/>
                <w:color w:val="0000EE"/>
              </w:rPr>
            </w:pPr>
            <w:hyperlink r:id="rId63">
              <w:r>
                <w:rPr>
                  <w:rFonts w:ascii="Times New Roman" w:cs="Times New Roman" w:eastAsia="Times New Roman" w:hAnsi="Times New Roman"/>
                  <w:sz w:val="17"/>
                  <w:szCs w:val="17"/>
                  <w:color w:val="0000EE"/>
                </w:rPr>
                <w:t>on Form 8-K filed with the Commission on May 30, 2012.)</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3.2</w:t>
            </w:r>
          </w:p>
        </w:tc>
        <w:tc>
          <w:tcPr>
            <w:tcW w:w="9860" w:type="dxa"/>
            <w:vAlign w:val="bottom"/>
            <w:tcBorders>
              <w:bottom w:val="single" w:sz="8" w:color="0000EE"/>
            </w:tcBorders>
            <w:gridSpan w:val="17"/>
            <w:shd w:val="clear" w:color="auto" w:fill="CCEEFF"/>
          </w:tcPr>
          <w:p>
            <w:pPr>
              <w:spacing w:after="0" w:line="161" w:lineRule="exact"/>
              <w:rPr>
                <w:rFonts w:ascii="Times New Roman" w:cs="Times New Roman" w:eastAsia="Times New Roman" w:hAnsi="Times New Roman"/>
                <w:sz w:val="17"/>
                <w:szCs w:val="17"/>
                <w:color w:val="0000EE"/>
                <w:w w:val="97"/>
              </w:rPr>
            </w:pPr>
            <w:hyperlink r:id="rId64">
              <w:r>
                <w:rPr>
                  <w:rFonts w:ascii="Times New Roman" w:cs="Times New Roman" w:eastAsia="Times New Roman" w:hAnsi="Times New Roman"/>
                  <w:sz w:val="17"/>
                  <w:szCs w:val="17"/>
                  <w:color w:val="0000EE"/>
                  <w:w w:val="97"/>
                </w:rPr>
                <w:t>Amended and Restated Bylaws of Galectin Therapeutics Inc., as amended (Incorporated by reference to the Company’s Current Report on Form 8-K</w:t>
              </w:r>
            </w:hyperlink>
          </w:p>
        </w:tc>
        <w:tc>
          <w:tcPr>
            <w:tcW w:w="260" w:type="dxa"/>
            <w:vAlign w:val="bottom"/>
            <w:tcBorders>
              <w:bottom w:val="single" w:sz="8" w:color="CCEEFF"/>
            </w:tcBorders>
            <w:gridSpan w:val="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120" w:type="dxa"/>
            <w:vAlign w:val="bottom"/>
            <w:gridSpan w:val="23"/>
            <w:shd w:val="clear" w:color="auto" w:fill="CCEEFF"/>
          </w:tcPr>
          <w:p>
            <w:pPr>
              <w:spacing w:after="0" w:line="179" w:lineRule="exact"/>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filed with the Commission on September 27, 2016.)</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3.3</w:t>
            </w:r>
          </w:p>
        </w:tc>
        <w:tc>
          <w:tcPr>
            <w:tcW w:w="9820" w:type="dxa"/>
            <w:vAlign w:val="bottom"/>
            <w:tcBorders>
              <w:bottom w:val="single" w:sz="8" w:color="0000EE"/>
            </w:tcBorders>
            <w:gridSpan w:val="15"/>
            <w:shd w:val="clear" w:color="auto" w:fill="CCEEFF"/>
          </w:tcPr>
          <w:p>
            <w:pPr>
              <w:spacing w:after="0" w:line="161" w:lineRule="exact"/>
              <w:rPr>
                <w:rFonts w:ascii="Times New Roman" w:cs="Times New Roman" w:eastAsia="Times New Roman" w:hAnsi="Times New Roman"/>
                <w:sz w:val="17"/>
                <w:szCs w:val="17"/>
                <w:color w:val="0000EE"/>
                <w:w w:val="97"/>
              </w:rPr>
            </w:pPr>
            <w:hyperlink r:id="rId65">
              <w:r>
                <w:rPr>
                  <w:rFonts w:ascii="Times New Roman" w:cs="Times New Roman" w:eastAsia="Times New Roman" w:hAnsi="Times New Roman"/>
                  <w:sz w:val="17"/>
                  <w:szCs w:val="17"/>
                  <w:color w:val="0000EE"/>
                  <w:w w:val="97"/>
                </w:rPr>
                <w:t>Certificate of Designation of Preferences, Rights and Limitations of Series A 12% Convertible Preferred Stock of Pro Pharmaceuticals, Inc., as filed</w:t>
              </w:r>
            </w:hyperlink>
          </w:p>
        </w:tc>
        <w:tc>
          <w:tcPr>
            <w:tcW w:w="300" w:type="dxa"/>
            <w:vAlign w:val="bottom"/>
            <w:tcBorders>
              <w:bottom w:val="single" w:sz="8" w:color="CCEEFF"/>
            </w:tcBorders>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8"/>
            <w:shd w:val="clear" w:color="auto" w:fill="CCEEFF"/>
          </w:tcPr>
          <w:p>
            <w:pPr>
              <w:spacing w:after="0" w:line="179" w:lineRule="exact"/>
              <w:rPr>
                <w:rFonts w:ascii="Times New Roman" w:cs="Times New Roman" w:eastAsia="Times New Roman" w:hAnsi="Times New Roman"/>
                <w:sz w:val="17"/>
                <w:szCs w:val="17"/>
                <w:color w:val="0000EE"/>
                <w:w w:val="97"/>
              </w:rPr>
            </w:pPr>
            <w:hyperlink r:id="rId65">
              <w:r>
                <w:rPr>
                  <w:rFonts w:ascii="Times New Roman" w:cs="Times New Roman" w:eastAsia="Times New Roman" w:hAnsi="Times New Roman"/>
                  <w:sz w:val="17"/>
                  <w:szCs w:val="17"/>
                  <w:color w:val="0000EE"/>
                  <w:w w:val="97"/>
                </w:rPr>
                <w:t>with the Secretary of State of the State of Nevada on October 5, 2007. (Incorporated by reference to the Company’s Current Report on Form 8-K filed</w:t>
              </w:r>
            </w:hyperlink>
          </w:p>
        </w:tc>
        <w:tc>
          <w:tcPr>
            <w:tcW w:w="180" w:type="dxa"/>
            <w:vAlign w:val="bottom"/>
            <w:tcBorders>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120" w:type="dxa"/>
            <w:vAlign w:val="bottom"/>
            <w:gridSpan w:val="23"/>
            <w:shd w:val="clear" w:color="auto" w:fill="CCEEFF"/>
          </w:tcPr>
          <w:p>
            <w:pPr>
              <w:spacing w:after="0" w:line="179" w:lineRule="exact"/>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with the Commission on October 9, 2007.)</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3.4</w:t>
            </w:r>
          </w:p>
        </w:tc>
        <w:tc>
          <w:tcPr>
            <w:tcW w:w="9500" w:type="dxa"/>
            <w:vAlign w:val="bottom"/>
            <w:tcBorders>
              <w:bottom w:val="single" w:sz="8" w:color="0000EE"/>
            </w:tcBorders>
            <w:gridSpan w:val="13"/>
            <w:shd w:val="clear" w:color="auto" w:fill="CCEEFF"/>
          </w:tcPr>
          <w:p>
            <w:pPr>
              <w:spacing w:after="0" w:line="161" w:lineRule="exact"/>
              <w:rPr>
                <w:rFonts w:ascii="Times New Roman" w:cs="Times New Roman" w:eastAsia="Times New Roman" w:hAnsi="Times New Roman"/>
                <w:sz w:val="17"/>
                <w:szCs w:val="17"/>
                <w:color w:val="0000EE"/>
                <w:w w:val="97"/>
              </w:rPr>
            </w:pPr>
            <w:hyperlink r:id="rId66">
              <w:r>
                <w:rPr>
                  <w:rFonts w:ascii="Times New Roman" w:cs="Times New Roman" w:eastAsia="Times New Roman" w:hAnsi="Times New Roman"/>
                  <w:sz w:val="17"/>
                  <w:szCs w:val="17"/>
                  <w:color w:val="0000EE"/>
                  <w:w w:val="97"/>
                </w:rPr>
                <w:t>First Amendment to Certificate of Designation of Preferences, Rights and Limitations of Series A 12% Convertible Preferred Stock of Galectin</w:t>
              </w:r>
            </w:hyperlink>
          </w:p>
        </w:tc>
        <w:tc>
          <w:tcPr>
            <w:tcW w:w="620" w:type="dxa"/>
            <w:vAlign w:val="bottom"/>
            <w:tcBorders>
              <w:bottom w:val="single" w:sz="8" w:color="CCEEFF"/>
            </w:tcBorders>
            <w:gridSpan w:val="10"/>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20" w:type="dxa"/>
            <w:vAlign w:val="bottom"/>
            <w:gridSpan w:val="23"/>
            <w:shd w:val="clear" w:color="auto" w:fill="CCEEFF"/>
          </w:tcPr>
          <w:p>
            <w:pPr>
              <w:spacing w:after="0" w:line="179" w:lineRule="exact"/>
              <w:rPr>
                <w:rFonts w:ascii="Times New Roman" w:cs="Times New Roman" w:eastAsia="Times New Roman" w:hAnsi="Times New Roman"/>
                <w:sz w:val="17"/>
                <w:szCs w:val="17"/>
                <w:color w:val="0000EE"/>
                <w:w w:val="99"/>
              </w:rPr>
            </w:pPr>
            <w:hyperlink r:id="rId66">
              <w:r>
                <w:rPr>
                  <w:rFonts w:ascii="Times New Roman" w:cs="Times New Roman" w:eastAsia="Times New Roman" w:hAnsi="Times New Roman"/>
                  <w:sz w:val="17"/>
                  <w:szCs w:val="17"/>
                  <w:color w:val="0000EE"/>
                  <w:w w:val="99"/>
                </w:rPr>
                <w:t>Therapeutics, Inc., as filed with the Secretary of State of the State of Nevada on May 15, 2017. (Incorporated by reference to the Company’s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EE"/>
            </w:tcBorders>
            <w:gridSpan w:val="16"/>
            <w:shd w:val="clear" w:color="auto" w:fill="CCEEFF"/>
          </w:tcPr>
          <w:p>
            <w:pPr>
              <w:spacing w:after="0" w:line="179" w:lineRule="exact"/>
              <w:rPr>
                <w:rFonts w:ascii="Times New Roman" w:cs="Times New Roman" w:eastAsia="Times New Roman" w:hAnsi="Times New Roman"/>
                <w:sz w:val="17"/>
                <w:szCs w:val="17"/>
                <w:color w:val="0000EE"/>
              </w:rPr>
            </w:pPr>
            <w:hyperlink r:id="rId66">
              <w:r>
                <w:rPr>
                  <w:rFonts w:ascii="Times New Roman" w:cs="Times New Roman" w:eastAsia="Times New Roman" w:hAnsi="Times New Roman"/>
                  <w:sz w:val="17"/>
                  <w:szCs w:val="17"/>
                  <w:color w:val="0000EE"/>
                </w:rPr>
                <w:t>Report on Form 8-K filed with the Commission on May 19, 2017.)</w:t>
              </w:r>
            </w:hyperlink>
          </w:p>
        </w:tc>
        <w:tc>
          <w:tcPr>
            <w:tcW w:w="280" w:type="dxa"/>
            <w:vAlign w:val="bottom"/>
            <w:tcBorders>
              <w:top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3.5</w:t>
            </w:r>
          </w:p>
        </w:tc>
        <w:tc>
          <w:tcPr>
            <w:tcW w:w="10020" w:type="dxa"/>
            <w:vAlign w:val="bottom"/>
            <w:tcBorders>
              <w:bottom w:val="single" w:sz="8" w:color="0000EE"/>
            </w:tcBorders>
            <w:gridSpan w:val="20"/>
            <w:shd w:val="clear" w:color="auto" w:fill="CCEEFF"/>
          </w:tcPr>
          <w:p>
            <w:pPr>
              <w:spacing w:after="0" w:line="161" w:lineRule="exact"/>
              <w:rPr>
                <w:rFonts w:ascii="Times New Roman" w:cs="Times New Roman" w:eastAsia="Times New Roman" w:hAnsi="Times New Roman"/>
                <w:sz w:val="17"/>
                <w:szCs w:val="17"/>
                <w:color w:val="0000EE"/>
                <w:w w:val="97"/>
              </w:rPr>
            </w:pPr>
            <w:hyperlink r:id="rId67">
              <w:r>
                <w:rPr>
                  <w:rFonts w:ascii="Times New Roman" w:cs="Times New Roman" w:eastAsia="Times New Roman" w:hAnsi="Times New Roman"/>
                  <w:sz w:val="17"/>
                  <w:szCs w:val="17"/>
                  <w:color w:val="0000EE"/>
                  <w:w w:val="97"/>
                </w:rPr>
                <w:t>Certificate of Designation of Preferences, Rights and Limitation of Series C Super Dividend Convertible Preferred Stock of Pro- Pharmaceuticals, Inc.,</w:t>
              </w:r>
            </w:hyperlink>
          </w:p>
        </w:tc>
        <w:tc>
          <w:tcPr>
            <w:tcW w:w="100" w:type="dxa"/>
            <w:vAlign w:val="bottom"/>
            <w:tcBorders>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21"/>
            <w:shd w:val="clear" w:color="auto" w:fill="CCEEFF"/>
          </w:tcPr>
          <w:p>
            <w:pPr>
              <w:spacing w:after="0" w:line="179" w:lineRule="exact"/>
              <w:rPr>
                <w:rFonts w:ascii="Times New Roman" w:cs="Times New Roman" w:eastAsia="Times New Roman" w:hAnsi="Times New Roman"/>
                <w:sz w:val="17"/>
                <w:szCs w:val="17"/>
                <w:color w:val="0000EE"/>
                <w:w w:val="97"/>
              </w:rPr>
            </w:pPr>
            <w:hyperlink r:id="rId67">
              <w:r>
                <w:rPr>
                  <w:rFonts w:ascii="Times New Roman" w:cs="Times New Roman" w:eastAsia="Times New Roman" w:hAnsi="Times New Roman"/>
                  <w:sz w:val="17"/>
                  <w:szCs w:val="17"/>
                  <w:color w:val="0000EE"/>
                  <w:w w:val="97"/>
                </w:rPr>
                <w:t>as filed with the Secretary of State of Nevada on December 30, 2010. (Incorporated by reference to the Company’s Current Report on Form 8-K as filed</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120" w:type="dxa"/>
            <w:vAlign w:val="bottom"/>
            <w:gridSpan w:val="23"/>
            <w:shd w:val="clear" w:color="auto" w:fill="CCEEFF"/>
          </w:tcPr>
          <w:p>
            <w:pPr>
              <w:spacing w:after="0" w:line="179" w:lineRule="exact"/>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with the Commission on January 6, 2011.)</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3.6</w:t>
            </w:r>
          </w:p>
        </w:tc>
        <w:tc>
          <w:tcPr>
            <w:tcW w:w="10120" w:type="dxa"/>
            <w:vAlign w:val="bottom"/>
            <w:gridSpan w:val="23"/>
            <w:shd w:val="clear" w:color="auto" w:fill="CCEEFF"/>
          </w:tcPr>
          <w:p>
            <w:pPr>
              <w:spacing w:after="0" w:line="161" w:lineRule="exact"/>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Certificate of Change as filed with the Nevada Secretary of State on March 1, 2012. (Incorporated by reference to the Company’s Current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9800" w:type="dxa"/>
            <w:vAlign w:val="bottom"/>
            <w:tcBorders>
              <w:top w:val="single" w:sz="8" w:color="0000EE"/>
            </w:tcBorders>
            <w:gridSpan w:val="14"/>
            <w:shd w:val="clear" w:color="auto" w:fill="CCEEFF"/>
          </w:tcPr>
          <w:p>
            <w:pPr>
              <w:spacing w:after="0" w:line="179" w:lineRule="exact"/>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Form 8-K as filed with the Commission on March 23, 2012.)</w:t>
              </w:r>
            </w:hyperlink>
          </w:p>
        </w:tc>
        <w:tc>
          <w:tcPr>
            <w:tcW w:w="320" w:type="dxa"/>
            <w:vAlign w:val="bottom"/>
            <w:tcBorders>
              <w:top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3.7</w:t>
            </w:r>
          </w:p>
        </w:tc>
        <w:tc>
          <w:tcPr>
            <w:tcW w:w="10100" w:type="dxa"/>
            <w:vAlign w:val="bottom"/>
            <w:tcBorders>
              <w:bottom w:val="single" w:sz="8" w:color="0000EE"/>
            </w:tcBorders>
            <w:gridSpan w:val="22"/>
            <w:shd w:val="clear" w:color="auto" w:fill="CCEEFF"/>
          </w:tcPr>
          <w:p>
            <w:pPr>
              <w:spacing w:after="0" w:line="161" w:lineRule="exact"/>
              <w:rPr>
                <w:rFonts w:ascii="Times New Roman" w:cs="Times New Roman" w:eastAsia="Times New Roman" w:hAnsi="Times New Roman"/>
                <w:sz w:val="17"/>
                <w:szCs w:val="17"/>
                <w:color w:val="0000EE"/>
                <w:w w:val="97"/>
              </w:rPr>
            </w:pPr>
            <w:hyperlink r:id="rId69">
              <w:r>
                <w:rPr>
                  <w:rFonts w:ascii="Times New Roman" w:cs="Times New Roman" w:eastAsia="Times New Roman" w:hAnsi="Times New Roman"/>
                  <w:sz w:val="17"/>
                  <w:szCs w:val="17"/>
                  <w:color w:val="0000EE"/>
                  <w:w w:val="97"/>
                </w:rPr>
                <w:t>Amendment to the Articles of Incorporation of Galectin Therapeutics Inc. (Incorporated by reference to the Company’s Annual Report on Form 10-K as</w:t>
              </w:r>
            </w:hyperlink>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120" w:type="dxa"/>
            <w:vAlign w:val="bottom"/>
            <w:gridSpan w:val="23"/>
            <w:shd w:val="clear" w:color="auto" w:fill="CCEEFF"/>
          </w:tcPr>
          <w:p>
            <w:pPr>
              <w:spacing w:after="0" w:line="179" w:lineRule="exact"/>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filed with the Commission on March 30, 2023)</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4.1</w:t>
            </w:r>
          </w:p>
        </w:tc>
        <w:tc>
          <w:tcPr>
            <w:tcW w:w="10120" w:type="dxa"/>
            <w:vAlign w:val="bottom"/>
            <w:gridSpan w:val="23"/>
            <w:shd w:val="clear" w:color="auto" w:fill="CCEEFF"/>
          </w:tcPr>
          <w:p>
            <w:pPr>
              <w:spacing w:after="0" w:line="161" w:lineRule="exact"/>
              <w:rPr>
                <w:rFonts w:ascii="Times New Roman" w:cs="Times New Roman" w:eastAsia="Times New Roman" w:hAnsi="Times New Roman"/>
                <w:sz w:val="17"/>
                <w:szCs w:val="17"/>
                <w:color w:val="0000EE"/>
                <w:w w:val="98"/>
              </w:rPr>
            </w:pPr>
            <w:hyperlink r:id="rId70">
              <w:r>
                <w:rPr>
                  <w:rFonts w:ascii="Times New Roman" w:cs="Times New Roman" w:eastAsia="Times New Roman" w:hAnsi="Times New Roman"/>
                  <w:sz w:val="17"/>
                  <w:szCs w:val="17"/>
                  <w:color w:val="0000EE"/>
                  <w:w w:val="98"/>
                </w:rPr>
                <w:t>Form of Common Stock Purchase Warrant (Incorporated by reference to the Company’s Current Report on Form 8-K as filed with the Commission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EE"/>
            </w:tcBorders>
            <w:gridSpan w:val="19"/>
            <w:shd w:val="clear" w:color="auto" w:fill="CCEEFF"/>
          </w:tcPr>
          <w:p>
            <w:pPr>
              <w:spacing w:after="0" w:line="179" w:lineRule="exact"/>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December 29, 2016.)</w:t>
              </w:r>
            </w:hyperlink>
          </w:p>
        </w:tc>
        <w:tc>
          <w:tcPr>
            <w:tcW w:w="16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4.2</w:t>
            </w:r>
          </w:p>
        </w:tc>
        <w:tc>
          <w:tcPr>
            <w:tcW w:w="10120" w:type="dxa"/>
            <w:vAlign w:val="bottom"/>
            <w:gridSpan w:val="23"/>
            <w:shd w:val="clear" w:color="auto" w:fill="CCEEFF"/>
          </w:tcPr>
          <w:p>
            <w:pPr>
              <w:spacing w:after="0" w:line="161" w:lineRule="exact"/>
              <w:rPr>
                <w:rFonts w:ascii="Times New Roman" w:cs="Times New Roman" w:eastAsia="Times New Roman" w:hAnsi="Times New Roman"/>
                <w:sz w:val="17"/>
                <w:szCs w:val="17"/>
                <w:color w:val="0000EE"/>
                <w:w w:val="99"/>
              </w:rPr>
            </w:pPr>
            <w:hyperlink r:id="rId71">
              <w:r>
                <w:rPr>
                  <w:rFonts w:ascii="Times New Roman" w:cs="Times New Roman" w:eastAsia="Times New Roman" w:hAnsi="Times New Roman"/>
                  <w:sz w:val="17"/>
                  <w:szCs w:val="17"/>
                  <w:color w:val="0000EE"/>
                  <w:w w:val="99"/>
                </w:rPr>
                <w:t>Form of Common Stock Purchase Warrant issued to Richard E. Uihlein (Incorporated by reference to the Company’s Current Report on Form 8-K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EE"/>
            </w:tcBorders>
            <w:gridSpan w:val="17"/>
            <w:shd w:val="clear" w:color="auto" w:fill="CCEEFF"/>
          </w:tcPr>
          <w:p>
            <w:pPr>
              <w:spacing w:after="0" w:line="179" w:lineRule="exact"/>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filed with the Commission on December 19, 2017.)</w:t>
              </w:r>
            </w:hyperlink>
          </w:p>
        </w:tc>
        <w:tc>
          <w:tcPr>
            <w:tcW w:w="260" w:type="dxa"/>
            <w:vAlign w:val="bottom"/>
            <w:tcBorders>
              <w:top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4.3</w:t>
            </w:r>
          </w:p>
        </w:tc>
        <w:tc>
          <w:tcPr>
            <w:tcW w:w="9960" w:type="dxa"/>
            <w:vAlign w:val="bottom"/>
            <w:tcBorders>
              <w:bottom w:val="single" w:sz="8" w:color="0000EE"/>
            </w:tcBorders>
            <w:gridSpan w:val="19"/>
            <w:shd w:val="clear" w:color="auto" w:fill="CCEEFF"/>
          </w:tcPr>
          <w:p>
            <w:pPr>
              <w:spacing w:after="0" w:line="161" w:lineRule="exact"/>
              <w:rPr>
                <w:rFonts w:ascii="Times New Roman" w:cs="Times New Roman" w:eastAsia="Times New Roman" w:hAnsi="Times New Roman"/>
                <w:sz w:val="17"/>
                <w:szCs w:val="17"/>
                <w:color w:val="0000EE"/>
                <w:w w:val="97"/>
              </w:rPr>
            </w:pPr>
            <w:hyperlink r:id="rId72">
              <w:r>
                <w:rPr>
                  <w:rFonts w:ascii="Times New Roman" w:cs="Times New Roman" w:eastAsia="Times New Roman" w:hAnsi="Times New Roman"/>
                  <w:sz w:val="17"/>
                  <w:szCs w:val="17"/>
                  <w:color w:val="0000EE"/>
                  <w:w w:val="97"/>
                </w:rPr>
                <w:t>First Amendment to Common Stock Purchase Warrant, dated December 20, 2018, by and between Richard E. Uihlein and the Company (Incorporated</w:t>
              </w:r>
            </w:hyperlink>
          </w:p>
        </w:tc>
        <w:tc>
          <w:tcPr>
            <w:tcW w:w="160" w:type="dxa"/>
            <w:vAlign w:val="bottom"/>
            <w:tcBorders>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120" w:type="dxa"/>
            <w:vAlign w:val="bottom"/>
            <w:gridSpan w:val="23"/>
            <w:shd w:val="clear" w:color="auto" w:fill="CCEEFF"/>
          </w:tcPr>
          <w:p>
            <w:pPr>
              <w:spacing w:after="0" w:line="179" w:lineRule="exact"/>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by reference to the Company’s Current Report on Form 8-K as filed with the Commission on January 3, 2019.)</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4.4</w:t>
            </w:r>
          </w:p>
        </w:tc>
        <w:tc>
          <w:tcPr>
            <w:tcW w:w="10120" w:type="dxa"/>
            <w:vAlign w:val="bottom"/>
            <w:gridSpan w:val="23"/>
            <w:shd w:val="clear" w:color="auto" w:fill="CCEEFF"/>
          </w:tcPr>
          <w:p>
            <w:pPr>
              <w:spacing w:after="0" w:line="161" w:lineRule="exact"/>
              <w:rPr>
                <w:rFonts w:ascii="Times New Roman" w:cs="Times New Roman" w:eastAsia="Times New Roman" w:hAnsi="Times New Roman"/>
                <w:sz w:val="17"/>
                <w:szCs w:val="17"/>
                <w:color w:val="0000EE"/>
                <w:w w:val="98"/>
              </w:rPr>
            </w:pPr>
            <w:hyperlink r:id="rId73">
              <w:r>
                <w:rPr>
                  <w:rFonts w:ascii="Times New Roman" w:cs="Times New Roman" w:eastAsia="Times New Roman" w:hAnsi="Times New Roman"/>
                  <w:sz w:val="17"/>
                  <w:szCs w:val="17"/>
                  <w:color w:val="0000EE"/>
                  <w:w w:val="98"/>
                </w:rPr>
                <w:t>Second Amendment to Common Stock Purchase Warrant, dated January 11, 2019, by and between Richard E. Uihlein and the Company (Incorporated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EE"/>
            </w:tcBorders>
            <w:gridSpan w:val="19"/>
            <w:shd w:val="clear" w:color="auto" w:fill="CCEEFF"/>
          </w:tcPr>
          <w:p>
            <w:pPr>
              <w:spacing w:after="0" w:line="179"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by reference to the Company’s Current Report on Form 8-K as filed with the Commission on January 15, 2019.)</w:t>
              </w:r>
            </w:hyperlink>
          </w:p>
        </w:tc>
        <w:tc>
          <w:tcPr>
            <w:tcW w:w="16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4.5</w:t>
            </w:r>
          </w:p>
        </w:tc>
        <w:tc>
          <w:tcPr>
            <w:tcW w:w="10120" w:type="dxa"/>
            <w:vAlign w:val="bottom"/>
            <w:gridSpan w:val="23"/>
            <w:shd w:val="clear" w:color="auto" w:fill="CCEEFF"/>
          </w:tcPr>
          <w:p>
            <w:pPr>
              <w:spacing w:after="0" w:line="161" w:lineRule="exact"/>
              <w:rPr>
                <w:rFonts w:ascii="Times New Roman" w:cs="Times New Roman" w:eastAsia="Times New Roman" w:hAnsi="Times New Roman"/>
                <w:sz w:val="17"/>
                <w:szCs w:val="17"/>
                <w:color w:val="0000EE"/>
                <w:w w:val="97"/>
              </w:rPr>
            </w:pPr>
            <w:hyperlink r:id="rId74">
              <w:r>
                <w:rPr>
                  <w:rFonts w:ascii="Times New Roman" w:cs="Times New Roman" w:eastAsia="Times New Roman" w:hAnsi="Times New Roman"/>
                  <w:sz w:val="17"/>
                  <w:szCs w:val="17"/>
                  <w:color w:val="0000EE"/>
                  <w:w w:val="97"/>
                </w:rPr>
                <w:t>Form of Amended and Restated Class B Common Stock Purchase Warrant (Incorporated by reference to the Company’s Current Report on Form 8-K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21"/>
            <w:shd w:val="clear" w:color="auto" w:fill="CCEEFF"/>
          </w:tcPr>
          <w:p>
            <w:pPr>
              <w:spacing w:after="0" w:line="179" w:lineRule="exact"/>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filed with the Commission on January 15, 2019.)</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3240" w:type="dxa"/>
            <w:vAlign w:val="bottom"/>
            <w:tcBorders>
              <w:top w:val="single" w:sz="8" w:color="0000EE"/>
            </w:tcBorders>
            <w:gridSpan w:val="5"/>
          </w:tcPr>
          <w:p>
            <w:pPr>
              <w:spacing w:after="0"/>
              <w:rPr>
                <w:sz w:val="24"/>
                <w:szCs w:val="24"/>
                <w:color w:val="auto"/>
              </w:rPr>
            </w:pPr>
          </w:p>
        </w:tc>
        <w:tc>
          <w:tcPr>
            <w:tcW w:w="4120" w:type="dxa"/>
            <w:vAlign w:val="bottom"/>
            <w:tcBorders>
              <w:top w:val="single" w:sz="8" w:color="CCEEFF"/>
            </w:tcBorders>
            <w:gridSpan w:val="6"/>
          </w:tcPr>
          <w:p>
            <w:pPr>
              <w:jc w:val="right"/>
              <w:ind w:right="2780"/>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0000EE"/>
              </w:rPr>
              <w:t>Index</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0" w:type="dxa"/>
            <w:vAlign w:val="bottom"/>
            <w:gridSpan w:val="11"/>
          </w:tcPr>
          <w:p>
            <w:pPr>
              <w:ind w:left="60"/>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4.6</w:t>
            </w:r>
          </w:p>
        </w:tc>
        <w:tc>
          <w:tcPr>
            <w:tcW w:w="800" w:type="dxa"/>
            <w:vAlign w:val="bottom"/>
            <w:tcBorders>
              <w:bottom w:val="single" w:sz="8" w:color="CCEEFF"/>
            </w:tcBorders>
            <w:shd w:val="clear" w:color="auto" w:fill="CCEEFF"/>
          </w:tcPr>
          <w:p>
            <w:pPr>
              <w:spacing w:after="0"/>
              <w:rPr>
                <w:sz w:val="14"/>
                <w:szCs w:val="14"/>
                <w:color w:val="auto"/>
              </w:rPr>
            </w:pPr>
          </w:p>
        </w:tc>
        <w:tc>
          <w:tcPr>
            <w:tcW w:w="9920" w:type="dxa"/>
            <w:vAlign w:val="bottom"/>
            <w:tcBorders>
              <w:bottom w:val="single" w:sz="8" w:color="0000EE"/>
            </w:tcBorders>
            <w:gridSpan w:val="14"/>
            <w:shd w:val="clear" w:color="auto" w:fill="CCEEFF"/>
          </w:tcPr>
          <w:p>
            <w:pPr>
              <w:spacing w:after="0" w:line="161" w:lineRule="exact"/>
              <w:rPr>
                <w:rFonts w:ascii="Times New Roman" w:cs="Times New Roman" w:eastAsia="Times New Roman" w:hAnsi="Times New Roman"/>
                <w:sz w:val="17"/>
                <w:szCs w:val="17"/>
                <w:color w:val="0000EE"/>
                <w:w w:val="96"/>
              </w:rPr>
            </w:pPr>
            <w:hyperlink r:id="rId75">
              <w:r>
                <w:rPr>
                  <w:rFonts w:ascii="Times New Roman" w:cs="Times New Roman" w:eastAsia="Times New Roman" w:hAnsi="Times New Roman"/>
                  <w:sz w:val="17"/>
                  <w:szCs w:val="17"/>
                  <w:color w:val="0000EE"/>
                  <w:w w:val="96"/>
                </w:rPr>
                <w:t>Form of Amended and Restated 10X Fund Class B Common Stock Purchase Warrant (Incorporated by reference to the Company’s Current Report on</w:t>
              </w:r>
            </w:hyperlink>
          </w:p>
        </w:tc>
        <w:tc>
          <w:tcPr>
            <w:tcW w:w="200" w:type="dxa"/>
            <w:vAlign w:val="bottom"/>
            <w:tcBorders>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179" w:lineRule="exact"/>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Form 8-K as filed with the Commission on January 15, 2019.)</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4.7</w:t>
            </w:r>
          </w:p>
        </w:tc>
        <w:tc>
          <w:tcPr>
            <w:tcW w:w="800" w:type="dxa"/>
            <w:vAlign w:val="bottom"/>
            <w:shd w:val="clear" w:color="auto" w:fill="CCEEFF"/>
          </w:tcPr>
          <w:p>
            <w:pPr>
              <w:spacing w:after="0"/>
              <w:rPr>
                <w:sz w:val="14"/>
                <w:szCs w:val="14"/>
                <w:color w:val="auto"/>
              </w:rPr>
            </w:pPr>
          </w:p>
        </w:tc>
        <w:tc>
          <w:tcPr>
            <w:tcW w:w="10120" w:type="dxa"/>
            <w:vAlign w:val="bottom"/>
            <w:gridSpan w:val="18"/>
            <w:shd w:val="clear" w:color="auto" w:fill="CCEEFF"/>
          </w:tcPr>
          <w:p>
            <w:pPr>
              <w:spacing w:after="0" w:line="161" w:lineRule="exact"/>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Form of Common Stock Purchase Warrant (Incorporated by reference to the Company’s Registration Statement on Form S-3 as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360" w:type="dxa"/>
            <w:vAlign w:val="bottom"/>
            <w:tcBorders>
              <w:top w:val="single" w:sz="8" w:color="0000EE"/>
            </w:tcBorders>
            <w:gridSpan w:val="11"/>
            <w:shd w:val="clear" w:color="auto" w:fill="CCEEFF"/>
          </w:tcPr>
          <w:p>
            <w:pPr>
              <w:spacing w:after="0" w:line="179" w:lineRule="exact"/>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Commission on March 6, 2019.)</w:t>
              </w:r>
            </w:hyperlink>
          </w:p>
        </w:tc>
        <w:tc>
          <w:tcPr>
            <w:tcW w:w="760" w:type="dxa"/>
            <w:vAlign w:val="bottom"/>
            <w:tcBorders>
              <w:top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4.8</w:t>
            </w:r>
          </w:p>
        </w:tc>
        <w:tc>
          <w:tcPr>
            <w:tcW w:w="80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17"/>
            <w:shd w:val="clear" w:color="auto" w:fill="CCEEFF"/>
          </w:tcPr>
          <w:p>
            <w:pPr>
              <w:spacing w:after="0" w:line="161" w:lineRule="exact"/>
              <w:rPr>
                <w:rFonts w:ascii="Times New Roman" w:cs="Times New Roman" w:eastAsia="Times New Roman" w:hAnsi="Times New Roman"/>
                <w:sz w:val="17"/>
                <w:szCs w:val="17"/>
                <w:color w:val="0000EE"/>
                <w:w w:val="97"/>
              </w:rPr>
            </w:pPr>
            <w:hyperlink r:id="rId77">
              <w:r>
                <w:rPr>
                  <w:rFonts w:ascii="Times New Roman" w:cs="Times New Roman" w:eastAsia="Times New Roman" w:hAnsi="Times New Roman"/>
                  <w:sz w:val="17"/>
                  <w:szCs w:val="17"/>
                  <w:color w:val="0000EE"/>
                  <w:w w:val="97"/>
                </w:rPr>
                <w:t>Form of Warrant Agency Agreement (Incorporated by reference to the Company’s Registration Statement on Form S-3 as filed with the Commission on</w:t>
              </w:r>
            </w:hyperlink>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179" w:lineRule="exact"/>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March 6, 2019.)</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3"/>
              </w:rPr>
              <w:t>4.09</w:t>
            </w:r>
          </w:p>
        </w:tc>
        <w:tc>
          <w:tcPr>
            <w:tcW w:w="800" w:type="dxa"/>
            <w:vAlign w:val="bottom"/>
            <w:tcBorders>
              <w:bottom w:val="single" w:sz="8" w:color="CCEEFF"/>
            </w:tcBorders>
            <w:shd w:val="clear" w:color="auto" w:fill="CCEEFF"/>
          </w:tcPr>
          <w:p>
            <w:pPr>
              <w:spacing w:after="0"/>
              <w:rPr>
                <w:sz w:val="14"/>
                <w:szCs w:val="14"/>
                <w:color w:val="auto"/>
              </w:rPr>
            </w:pPr>
          </w:p>
        </w:tc>
        <w:tc>
          <w:tcPr>
            <w:tcW w:w="9640" w:type="dxa"/>
            <w:vAlign w:val="bottom"/>
            <w:tcBorders>
              <w:bottom w:val="single" w:sz="8" w:color="0000EE"/>
            </w:tcBorders>
            <w:gridSpan w:val="13"/>
            <w:shd w:val="clear" w:color="auto" w:fill="CCEEFF"/>
          </w:tcPr>
          <w:p>
            <w:pPr>
              <w:spacing w:after="0" w:line="161" w:lineRule="exact"/>
              <w:rPr>
                <w:rFonts w:ascii="Times New Roman" w:cs="Times New Roman" w:eastAsia="Times New Roman" w:hAnsi="Times New Roman"/>
                <w:sz w:val="17"/>
                <w:szCs w:val="17"/>
                <w:color w:val="0000EE"/>
                <w:w w:val="96"/>
              </w:rPr>
            </w:pPr>
            <w:hyperlink r:id="rId78">
              <w:r>
                <w:rPr>
                  <w:rFonts w:ascii="Times New Roman" w:cs="Times New Roman" w:eastAsia="Times New Roman" w:hAnsi="Times New Roman"/>
                  <w:sz w:val="17"/>
                  <w:szCs w:val="17"/>
                  <w:color w:val="0000EE"/>
                  <w:w w:val="96"/>
                </w:rPr>
                <w:t>Form of Common Stock Purchase Warrant (Incorporated by reference to exhibit 4.1 the Company’s Current Report on Form 8-K as filed with the</w:t>
              </w:r>
            </w:hyperlink>
          </w:p>
        </w:tc>
        <w:tc>
          <w:tcPr>
            <w:tcW w:w="480" w:type="dxa"/>
            <w:vAlign w:val="bottom"/>
            <w:tcBorders>
              <w:bottom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179"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Commission on July 26, 2022.)</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3"/>
              </w:rPr>
              <w:t>4.10</w:t>
            </w:r>
          </w:p>
        </w:tc>
        <w:tc>
          <w:tcPr>
            <w:tcW w:w="800" w:type="dxa"/>
            <w:vAlign w:val="bottom"/>
            <w:shd w:val="clear" w:color="auto" w:fill="CCEEFF"/>
          </w:tcPr>
          <w:p>
            <w:pPr>
              <w:spacing w:after="0"/>
              <w:rPr>
                <w:sz w:val="14"/>
                <w:szCs w:val="14"/>
                <w:color w:val="auto"/>
              </w:rPr>
            </w:pPr>
          </w:p>
        </w:tc>
        <w:tc>
          <w:tcPr>
            <w:tcW w:w="10120" w:type="dxa"/>
            <w:vAlign w:val="bottom"/>
            <w:gridSpan w:val="18"/>
            <w:shd w:val="clear" w:color="auto" w:fill="CCEEFF"/>
          </w:tcPr>
          <w:p>
            <w:pPr>
              <w:spacing w:after="0" w:line="161" w:lineRule="exact"/>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Description of Registrant’s securities (Incorporated by reference to exhibit 4.20 the Company’s Annual Report on Form 10-K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540" w:type="dxa"/>
            <w:vAlign w:val="bottom"/>
            <w:tcBorders>
              <w:top w:val="single" w:sz="8" w:color="0000EE"/>
            </w:tcBorders>
            <w:gridSpan w:val="12"/>
            <w:shd w:val="clear" w:color="auto" w:fill="CCEEFF"/>
          </w:tcPr>
          <w:p>
            <w:pPr>
              <w:spacing w:after="0" w:line="179" w:lineRule="exact"/>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December 31, 2020, as filed on March 31, 2021.)</w:t>
              </w:r>
            </w:hyperlink>
          </w:p>
        </w:tc>
        <w:tc>
          <w:tcPr>
            <w:tcW w:w="580" w:type="dxa"/>
            <w:vAlign w:val="bottom"/>
            <w:tcBorders>
              <w:top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3"/>
              </w:rPr>
              <w:t>4.11</w:t>
            </w:r>
          </w:p>
        </w:tc>
        <w:tc>
          <w:tcPr>
            <w:tcW w:w="800" w:type="dxa"/>
            <w:vAlign w:val="bottom"/>
            <w:tcBorders>
              <w:bottom w:val="single" w:sz="8" w:color="CCEEFF"/>
            </w:tcBorders>
            <w:shd w:val="clear" w:color="auto" w:fill="CCEEFF"/>
          </w:tcPr>
          <w:p>
            <w:pPr>
              <w:spacing w:after="0"/>
              <w:rPr>
                <w:sz w:val="14"/>
                <w:szCs w:val="14"/>
                <w:color w:val="auto"/>
              </w:rPr>
            </w:pPr>
          </w:p>
        </w:tc>
        <w:tc>
          <w:tcPr>
            <w:tcW w:w="10080" w:type="dxa"/>
            <w:vAlign w:val="bottom"/>
            <w:tcBorders>
              <w:bottom w:val="single" w:sz="8" w:color="0000EE"/>
            </w:tcBorders>
            <w:gridSpan w:val="16"/>
            <w:shd w:val="clear" w:color="auto" w:fill="CCEEFF"/>
          </w:tcPr>
          <w:p>
            <w:pPr>
              <w:spacing w:after="0" w:line="161" w:lineRule="exact"/>
              <w:rPr>
                <w:rFonts w:ascii="Times New Roman" w:cs="Times New Roman" w:eastAsia="Times New Roman" w:hAnsi="Times New Roman"/>
                <w:sz w:val="17"/>
                <w:szCs w:val="17"/>
                <w:color w:val="0000EE"/>
                <w:w w:val="96"/>
              </w:rPr>
            </w:pPr>
            <w:hyperlink r:id="rId80">
              <w:r>
                <w:rPr>
                  <w:rFonts w:ascii="Times New Roman" w:cs="Times New Roman" w:eastAsia="Times New Roman" w:hAnsi="Times New Roman"/>
                  <w:sz w:val="17"/>
                  <w:szCs w:val="17"/>
                  <w:color w:val="0000EE"/>
                  <w:w w:val="96"/>
                </w:rPr>
                <w:t>Warrant Extension Agreement between the Company and 10X Fund L.P. (incorporated by reference to Exhibit 4.11 to the Company’s Annual Report on</w:t>
              </w:r>
            </w:hyperlink>
          </w:p>
        </w:tc>
        <w:tc>
          <w:tcPr>
            <w:tcW w:w="40" w:type="dxa"/>
            <w:vAlign w:val="bottom"/>
            <w:tcBorders>
              <w:bottom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179" w:lineRule="exact"/>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form 10-K for the year ended December 31, 2023, as filed on March 29, 2024)</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3"/>
              </w:rPr>
              <w:t>4.12</w:t>
            </w:r>
          </w:p>
        </w:tc>
        <w:tc>
          <w:tcPr>
            <w:tcW w:w="800" w:type="dxa"/>
            <w:vAlign w:val="bottom"/>
            <w:shd w:val="clear" w:color="auto" w:fill="CCEEFF"/>
          </w:tcPr>
          <w:p>
            <w:pPr>
              <w:spacing w:after="0"/>
              <w:rPr>
                <w:sz w:val="14"/>
                <w:szCs w:val="14"/>
                <w:color w:val="auto"/>
              </w:rPr>
            </w:pPr>
          </w:p>
        </w:tc>
        <w:tc>
          <w:tcPr>
            <w:tcW w:w="10120" w:type="dxa"/>
            <w:vAlign w:val="bottom"/>
            <w:gridSpan w:val="18"/>
            <w:shd w:val="clear" w:color="auto" w:fill="CCEEFF"/>
          </w:tcPr>
          <w:p>
            <w:pPr>
              <w:spacing w:after="0" w:line="161" w:lineRule="exact"/>
              <w:rPr>
                <w:rFonts w:ascii="Times New Roman" w:cs="Times New Roman" w:eastAsia="Times New Roman" w:hAnsi="Times New Roman"/>
                <w:sz w:val="17"/>
                <w:szCs w:val="17"/>
                <w:color w:val="0000EE"/>
                <w:w w:val="97"/>
              </w:rPr>
            </w:pPr>
            <w:hyperlink r:id="rId81">
              <w:r>
                <w:rPr>
                  <w:rFonts w:ascii="Times New Roman" w:cs="Times New Roman" w:eastAsia="Times New Roman" w:hAnsi="Times New Roman"/>
                  <w:sz w:val="17"/>
                  <w:szCs w:val="17"/>
                  <w:color w:val="0000EE"/>
                  <w:w w:val="97"/>
                </w:rPr>
                <w:t>Form of Common Stock Purchase Warrant (incorporated by reference to Exhibit 4.11 to the Company’s Annual Report on form 10-K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0000EE"/>
            </w:tcBorders>
            <w:gridSpan w:val="15"/>
            <w:shd w:val="clear" w:color="auto" w:fill="CCEEFF"/>
          </w:tcPr>
          <w:p>
            <w:pPr>
              <w:spacing w:after="0" w:line="179" w:lineRule="exact"/>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December 31, 2023, as filed on March 29, 2024)</w:t>
              </w:r>
            </w:hyperlink>
          </w:p>
        </w:tc>
        <w:tc>
          <w:tcPr>
            <w:tcW w:w="60" w:type="dxa"/>
            <w:vAlign w:val="bottom"/>
            <w:tcBorders>
              <w:top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w:t>
            </w:r>
          </w:p>
        </w:tc>
        <w:tc>
          <w:tcPr>
            <w:tcW w:w="10120" w:type="dxa"/>
            <w:vAlign w:val="bottom"/>
            <w:tcBorders>
              <w:bottom w:val="single" w:sz="8" w:color="0000EE"/>
            </w:tcBorders>
            <w:gridSpan w:val="18"/>
            <w:shd w:val="clear" w:color="auto" w:fill="CCEEFF"/>
          </w:tcPr>
          <w:p>
            <w:pPr>
              <w:spacing w:after="0" w:line="161" w:lineRule="exact"/>
              <w:rPr>
                <w:rFonts w:ascii="Times New Roman" w:cs="Times New Roman" w:eastAsia="Times New Roman" w:hAnsi="Times New Roman"/>
                <w:sz w:val="17"/>
                <w:szCs w:val="17"/>
                <w:color w:val="0000EE"/>
                <w:w w:val="97"/>
              </w:rPr>
            </w:pPr>
            <w:hyperlink r:id="rId82">
              <w:r>
                <w:rPr>
                  <w:rFonts w:ascii="Times New Roman" w:cs="Times New Roman" w:eastAsia="Times New Roman" w:hAnsi="Times New Roman"/>
                  <w:sz w:val="17"/>
                  <w:szCs w:val="17"/>
                  <w:color w:val="0000EE"/>
                  <w:w w:val="97"/>
                </w:rPr>
                <w:t>Galectin Therapeutics 2019 Omnibus Equity Incentive Plan (Incorporated by reference to Appendix A to the Company’s definitive proxy statement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179" w:lineRule="exact"/>
              <w:rPr>
                <w:rFonts w:ascii="Times New Roman" w:cs="Times New Roman" w:eastAsia="Times New Roman" w:hAnsi="Times New Roman"/>
                <w:sz w:val="17"/>
                <w:szCs w:val="17"/>
                <w:color w:val="0000EE"/>
              </w:rPr>
            </w:pPr>
            <w:hyperlink r:id="rId82">
              <w:r>
                <w:rPr>
                  <w:rFonts w:ascii="Times New Roman" w:cs="Times New Roman" w:eastAsia="Times New Roman" w:hAnsi="Times New Roman"/>
                  <w:sz w:val="17"/>
                  <w:szCs w:val="17"/>
                  <w:color w:val="0000EE"/>
                </w:rPr>
                <w:t>with the Commission on October 17, 2019.)</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3"/>
              </w:rPr>
              <w:t>10.2</w:t>
            </w:r>
          </w:p>
        </w:tc>
        <w:tc>
          <w:tcPr>
            <w:tcW w:w="800" w:type="dxa"/>
            <w:vAlign w:val="bottom"/>
            <w:tcBorders>
              <w:bottom w:val="single" w:sz="8" w:color="CCEEFF"/>
            </w:tcBorders>
            <w:shd w:val="clear" w:color="auto" w:fill="CCEEFF"/>
          </w:tcPr>
          <w:p>
            <w:pPr>
              <w:spacing w:after="0"/>
              <w:rPr>
                <w:sz w:val="14"/>
                <w:szCs w:val="14"/>
                <w:color w:val="auto"/>
              </w:rPr>
            </w:pPr>
          </w:p>
        </w:tc>
        <w:tc>
          <w:tcPr>
            <w:tcW w:w="10120" w:type="dxa"/>
            <w:vAlign w:val="bottom"/>
            <w:tcBorders>
              <w:bottom w:val="single" w:sz="8" w:color="0000EE"/>
            </w:tcBorders>
            <w:gridSpan w:val="18"/>
            <w:shd w:val="clear" w:color="auto" w:fill="CCEEFF"/>
          </w:tcPr>
          <w:p>
            <w:pPr>
              <w:spacing w:after="0" w:line="161" w:lineRule="exact"/>
              <w:rPr>
                <w:rFonts w:ascii="Times New Roman" w:cs="Times New Roman" w:eastAsia="Times New Roman" w:hAnsi="Times New Roman"/>
                <w:sz w:val="17"/>
                <w:szCs w:val="17"/>
                <w:color w:val="0000EE"/>
                <w:w w:val="97"/>
              </w:rPr>
            </w:pPr>
            <w:hyperlink r:id="rId83">
              <w:r>
                <w:rPr>
                  <w:rFonts w:ascii="Times New Roman" w:cs="Times New Roman" w:eastAsia="Times New Roman" w:hAnsi="Times New Roman"/>
                  <w:sz w:val="17"/>
                  <w:szCs w:val="17"/>
                  <w:color w:val="0000EE"/>
                  <w:w w:val="97"/>
                </w:rPr>
                <w:t>Form of Stock Option Award Agreement under Galectin Therapeutics 2019 Omnibus Equity Incentive Plan (incorporated by reference to Exhibit 10.2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179" w:lineRule="exact"/>
              <w:rPr>
                <w:rFonts w:ascii="Times New Roman" w:cs="Times New Roman" w:eastAsia="Times New Roman" w:hAnsi="Times New Roman"/>
                <w:sz w:val="17"/>
                <w:szCs w:val="17"/>
                <w:color w:val="0000EE"/>
              </w:rPr>
            </w:pPr>
            <w:hyperlink r:id="rId83">
              <w:r>
                <w:rPr>
                  <w:rFonts w:ascii="Times New Roman" w:cs="Times New Roman" w:eastAsia="Times New Roman" w:hAnsi="Times New Roman"/>
                  <w:sz w:val="17"/>
                  <w:szCs w:val="17"/>
                  <w:color w:val="0000EE"/>
                </w:rPr>
                <w:t>the Company’s Annual Report on form 10-K for the year ended December 31, 2023, as filed on March 29, 2024)</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3"/>
              </w:rPr>
              <w:t>10.3</w:t>
            </w:r>
          </w:p>
        </w:tc>
        <w:tc>
          <w:tcPr>
            <w:tcW w:w="800" w:type="dxa"/>
            <w:vAlign w:val="bottom"/>
            <w:tcBorders>
              <w:bottom w:val="single" w:sz="8" w:color="CCEEFF"/>
            </w:tcBorders>
            <w:shd w:val="clear" w:color="auto" w:fill="CCEEFF"/>
          </w:tcPr>
          <w:p>
            <w:pPr>
              <w:spacing w:after="0"/>
              <w:rPr>
                <w:sz w:val="14"/>
                <w:szCs w:val="14"/>
                <w:color w:val="auto"/>
              </w:rPr>
            </w:pPr>
          </w:p>
        </w:tc>
        <w:tc>
          <w:tcPr>
            <w:tcW w:w="9640" w:type="dxa"/>
            <w:vAlign w:val="bottom"/>
            <w:tcBorders>
              <w:bottom w:val="single" w:sz="8" w:color="0000EE"/>
            </w:tcBorders>
            <w:gridSpan w:val="13"/>
            <w:shd w:val="clear" w:color="auto" w:fill="CCEEFF"/>
          </w:tcPr>
          <w:p>
            <w:pPr>
              <w:spacing w:after="0" w:line="161" w:lineRule="exact"/>
              <w:rPr>
                <w:rFonts w:ascii="Times New Roman" w:cs="Times New Roman" w:eastAsia="Times New Roman" w:hAnsi="Times New Roman"/>
                <w:sz w:val="17"/>
                <w:szCs w:val="17"/>
                <w:color w:val="0000EE"/>
                <w:w w:val="97"/>
              </w:rPr>
            </w:pPr>
            <w:hyperlink r:id="rId84">
              <w:r>
                <w:rPr>
                  <w:rFonts w:ascii="Times New Roman" w:cs="Times New Roman" w:eastAsia="Times New Roman" w:hAnsi="Times New Roman"/>
                  <w:sz w:val="17"/>
                  <w:szCs w:val="17"/>
                  <w:color w:val="0000EE"/>
                  <w:w w:val="97"/>
                </w:rPr>
                <w:t>Form of Restricted Stock Unit Award Agreement under Galectin Therapeutics 2019 Omnibus Equity Incentive Plan (incorporated by reference to</w:t>
              </w:r>
            </w:hyperlink>
          </w:p>
        </w:tc>
        <w:tc>
          <w:tcPr>
            <w:tcW w:w="480" w:type="dxa"/>
            <w:vAlign w:val="bottom"/>
            <w:tcBorders>
              <w:bottom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18"/>
            <w:shd w:val="clear" w:color="auto" w:fill="CCEEFF"/>
          </w:tcPr>
          <w:p>
            <w:pPr>
              <w:spacing w:after="0" w:line="179" w:lineRule="exact"/>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Exhibit 10.3 to the Company’s Annual Report on form 10-K for the year ended December 31, 2023, as filed on March 29, 2024)</w:t>
              </w:r>
            </w:hyperlink>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5200" w:type="dxa"/>
            <w:vAlign w:val="bottom"/>
            <w:tcBorders>
              <w:top w:val="single" w:sz="8" w:color="0000EE"/>
            </w:tcBorders>
            <w:gridSpan w:val="8"/>
          </w:tcPr>
          <w:p>
            <w:pPr>
              <w:ind w:left="4440"/>
              <w:spacing w:after="0"/>
              <w:rPr>
                <w:sz w:val="20"/>
                <w:szCs w:val="20"/>
                <w:color w:val="auto"/>
              </w:rPr>
            </w:pPr>
            <w:r>
              <w:rPr>
                <w:rFonts w:ascii="Times New Roman" w:cs="Times New Roman" w:eastAsia="Times New Roman" w:hAnsi="Times New Roman"/>
                <w:sz w:val="13"/>
                <w:szCs w:val="13"/>
                <w:color w:val="auto"/>
              </w:rPr>
              <w:t>44</w:t>
            </w:r>
          </w:p>
        </w:tc>
        <w:tc>
          <w:tcPr>
            <w:tcW w:w="22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0000EE"/>
              </w:rPr>
              <w:t>Index</w:t>
            </w: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40" w:type="dxa"/>
            <w:vAlign w:val="bottom"/>
            <w:gridSpan w:val="24"/>
          </w:tcPr>
          <w:p>
            <w:pPr>
              <w:ind w:left="700"/>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10.4†</w:t>
            </w:r>
          </w:p>
        </w:tc>
        <w:tc>
          <w:tcPr>
            <w:tcW w:w="10120" w:type="dxa"/>
            <w:vAlign w:val="bottom"/>
            <w:gridSpan w:val="31"/>
            <w:shd w:val="clear" w:color="auto" w:fill="CCEEFF"/>
          </w:tcPr>
          <w:p>
            <w:pPr>
              <w:spacing w:after="0" w:line="161" w:lineRule="exact"/>
              <w:rPr>
                <w:rFonts w:ascii="Times New Roman" w:cs="Times New Roman" w:eastAsia="Times New Roman" w:hAnsi="Times New Roman"/>
                <w:sz w:val="17"/>
                <w:szCs w:val="17"/>
                <w:color w:val="0000EE"/>
                <w:w w:val="99"/>
              </w:rPr>
            </w:pPr>
            <w:hyperlink r:id="rId85">
              <w:r>
                <w:rPr>
                  <w:rFonts w:ascii="Times New Roman" w:cs="Times New Roman" w:eastAsia="Times New Roman" w:hAnsi="Times New Roman"/>
                  <w:sz w:val="17"/>
                  <w:szCs w:val="17"/>
                  <w:color w:val="0000EE"/>
                  <w:w w:val="99"/>
                </w:rPr>
                <w:t>Employment Agreement dated June 20, 2013 between Jack W. Callicutt and Galectin Therapeutics Inc. (Incorporated by reference to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EE"/>
            </w:tcBorders>
            <w:gridSpan w:val="24"/>
            <w:shd w:val="clear" w:color="auto" w:fill="CCEEFF"/>
          </w:tcPr>
          <w:p>
            <w:pPr>
              <w:spacing w:after="0" w:line="179" w:lineRule="exact"/>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Quarterly Report on Form 10-Q as filed with the Commission on August 14, 2013.)</w:t>
              </w:r>
            </w:hyperlink>
          </w:p>
        </w:tc>
        <w:tc>
          <w:tcPr>
            <w:tcW w:w="280" w:type="dxa"/>
            <w:vAlign w:val="bottom"/>
            <w:tcBorders>
              <w:top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10.5†</w:t>
            </w:r>
          </w:p>
        </w:tc>
        <w:tc>
          <w:tcPr>
            <w:tcW w:w="10020" w:type="dxa"/>
            <w:vAlign w:val="bottom"/>
            <w:tcBorders>
              <w:bottom w:val="single" w:sz="8" w:color="0000EE"/>
            </w:tcBorders>
            <w:gridSpan w:val="28"/>
            <w:shd w:val="clear" w:color="auto" w:fill="CCEEFF"/>
          </w:tcPr>
          <w:p>
            <w:pPr>
              <w:spacing w:after="0" w:line="161" w:lineRule="exact"/>
              <w:rPr>
                <w:rFonts w:ascii="Times New Roman" w:cs="Times New Roman" w:eastAsia="Times New Roman" w:hAnsi="Times New Roman"/>
                <w:sz w:val="17"/>
                <w:szCs w:val="17"/>
                <w:color w:val="0000EE"/>
                <w:w w:val="97"/>
              </w:rPr>
            </w:pPr>
            <w:hyperlink r:id="rId86">
              <w:r>
                <w:rPr>
                  <w:rFonts w:ascii="Times New Roman" w:cs="Times New Roman" w:eastAsia="Times New Roman" w:hAnsi="Times New Roman"/>
                  <w:sz w:val="17"/>
                  <w:szCs w:val="17"/>
                  <w:color w:val="0000EE"/>
                  <w:w w:val="97"/>
                </w:rPr>
                <w:t>Amendment to Employment Agreement dated August 11, 2017 between Jack W. Callicutt and Galectin Therapeutics Inc. (Incorporated by reference to</w:t>
              </w:r>
            </w:hyperlink>
          </w:p>
        </w:tc>
        <w:tc>
          <w:tcPr>
            <w:tcW w:w="100" w:type="dxa"/>
            <w:vAlign w:val="bottom"/>
            <w:tcBorders>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the Company’s Quarterly Report on Form 10-Q as filed with the Commission on August 14, 2017.)</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3"/>
              </w:rPr>
              <w:t>10.6</w:t>
            </w:r>
          </w:p>
        </w:tc>
        <w:tc>
          <w:tcPr>
            <w:tcW w:w="800" w:type="dxa"/>
            <w:vAlign w:val="bottom"/>
            <w:tcBorders>
              <w:bottom w:val="single" w:sz="8" w:color="CCEEFF"/>
            </w:tcBorders>
            <w:shd w:val="clear" w:color="auto" w:fill="CCEEFF"/>
          </w:tcPr>
          <w:p>
            <w:pPr>
              <w:spacing w:after="0"/>
              <w:rPr>
                <w:sz w:val="14"/>
                <w:szCs w:val="14"/>
                <w:color w:val="auto"/>
              </w:rPr>
            </w:pPr>
          </w:p>
        </w:tc>
        <w:tc>
          <w:tcPr>
            <w:tcW w:w="10040" w:type="dxa"/>
            <w:vAlign w:val="bottom"/>
            <w:tcBorders>
              <w:bottom w:val="single" w:sz="8" w:color="0000EE"/>
            </w:tcBorders>
            <w:gridSpan w:val="29"/>
            <w:shd w:val="clear" w:color="auto" w:fill="CCEEFF"/>
          </w:tcPr>
          <w:p>
            <w:pPr>
              <w:spacing w:after="0" w:line="161" w:lineRule="exact"/>
              <w:rPr>
                <w:rFonts w:ascii="Times New Roman" w:cs="Times New Roman" w:eastAsia="Times New Roman" w:hAnsi="Times New Roman"/>
                <w:sz w:val="17"/>
                <w:szCs w:val="17"/>
                <w:color w:val="0000EE"/>
                <w:w w:val="97"/>
              </w:rPr>
            </w:pPr>
            <w:hyperlink r:id="rId87">
              <w:r>
                <w:rPr>
                  <w:rFonts w:ascii="Times New Roman" w:cs="Times New Roman" w:eastAsia="Times New Roman" w:hAnsi="Times New Roman"/>
                  <w:sz w:val="17"/>
                  <w:szCs w:val="17"/>
                  <w:color w:val="0000EE"/>
                  <w:w w:val="97"/>
                </w:rPr>
                <w:t>Employment Agreement, dated August 1, 2024, by and between Galectin Therapeutics Inc. and Khurram Jamil, M.D. (Incorporated by reference to the</w:t>
              </w:r>
            </w:hyperlink>
          </w:p>
        </w:tc>
        <w:tc>
          <w:tcPr>
            <w:tcW w:w="80" w:type="dxa"/>
            <w:vAlign w:val="bottom"/>
            <w:tcBorders>
              <w:bottom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Company’s Current Report on Form 8-K as filed with the Commission on August 1, 2024.)</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10.7***</w:t>
            </w:r>
          </w:p>
        </w:tc>
        <w:tc>
          <w:tcPr>
            <w:tcW w:w="10080" w:type="dxa"/>
            <w:vAlign w:val="bottom"/>
            <w:tcBorders>
              <w:bottom w:val="single" w:sz="8" w:color="0000EE"/>
            </w:tcBorders>
            <w:gridSpan w:val="30"/>
            <w:shd w:val="clear" w:color="auto" w:fill="CCEEFF"/>
          </w:tcPr>
          <w:p>
            <w:pPr>
              <w:spacing w:after="0" w:line="161" w:lineRule="exact"/>
              <w:rPr>
                <w:rFonts w:ascii="Times New Roman" w:cs="Times New Roman" w:eastAsia="Times New Roman" w:hAnsi="Times New Roman"/>
                <w:sz w:val="17"/>
                <w:szCs w:val="17"/>
                <w:color w:val="0000EE"/>
                <w:w w:val="97"/>
              </w:rPr>
            </w:pPr>
            <w:hyperlink r:id="rId88">
              <w:r>
                <w:rPr>
                  <w:rFonts w:ascii="Times New Roman" w:cs="Times New Roman" w:eastAsia="Times New Roman" w:hAnsi="Times New Roman"/>
                  <w:sz w:val="17"/>
                  <w:szCs w:val="17"/>
                  <w:color w:val="0000EE"/>
                  <w:w w:val="97"/>
                </w:rPr>
                <w:t>Master Services Agreement, effective as of March 12, 2020, by and between Galectin Therapeutics, Inc. and Covance Inc. (Incorporated by reference to</w:t>
              </w:r>
            </w:hyperlink>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88">
              <w:r>
                <w:rPr>
                  <w:rFonts w:ascii="Times New Roman" w:cs="Times New Roman" w:eastAsia="Times New Roman" w:hAnsi="Times New Roman"/>
                  <w:sz w:val="17"/>
                  <w:szCs w:val="17"/>
                  <w:color w:val="0000EE"/>
                </w:rPr>
                <w:t>the Company’s Current Report on Form 8-K as filed with the Commission on March 17, 2020.)</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10.8***</w:t>
            </w:r>
          </w:p>
        </w:tc>
        <w:tc>
          <w:tcPr>
            <w:tcW w:w="10120" w:type="dxa"/>
            <w:vAlign w:val="bottom"/>
            <w:gridSpan w:val="31"/>
            <w:shd w:val="clear" w:color="auto" w:fill="CCEEFF"/>
          </w:tcPr>
          <w:p>
            <w:pPr>
              <w:spacing w:after="0" w:line="161" w:lineRule="exact"/>
              <w:rPr>
                <w:rFonts w:ascii="Times New Roman" w:cs="Times New Roman" w:eastAsia="Times New Roman" w:hAnsi="Times New Roman"/>
                <w:sz w:val="17"/>
                <w:szCs w:val="17"/>
                <w:color w:val="0000EE"/>
              </w:rPr>
            </w:pPr>
            <w:hyperlink r:id="rId89">
              <w:r>
                <w:rPr>
                  <w:rFonts w:ascii="Times New Roman" w:cs="Times New Roman" w:eastAsia="Times New Roman" w:hAnsi="Times New Roman"/>
                  <w:sz w:val="17"/>
                  <w:szCs w:val="17"/>
                  <w:color w:val="0000EE"/>
                </w:rPr>
                <w:t>Work Order, dated as of March 12, 2020, by and between Galectin Therapeutics, Inc. and Covance Clinical Research Unit Inc.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520" w:type="dxa"/>
            <w:vAlign w:val="bottom"/>
            <w:tcBorders>
              <w:top w:val="single" w:sz="8" w:color="0000EE"/>
            </w:tcBorders>
            <w:gridSpan w:val="20"/>
            <w:shd w:val="clear" w:color="auto" w:fill="CCEEFF"/>
          </w:tcPr>
          <w:p>
            <w:pPr>
              <w:spacing w:after="0" w:line="179" w:lineRule="exact"/>
              <w:rPr>
                <w:rFonts w:ascii="Times New Roman" w:cs="Times New Roman" w:eastAsia="Times New Roman" w:hAnsi="Times New Roman"/>
                <w:sz w:val="17"/>
                <w:szCs w:val="17"/>
                <w:color w:val="0000EE"/>
              </w:rPr>
            </w:pPr>
            <w:hyperlink r:id="rId89">
              <w:r>
                <w:rPr>
                  <w:rFonts w:ascii="Times New Roman" w:cs="Times New Roman" w:eastAsia="Times New Roman" w:hAnsi="Times New Roman"/>
                  <w:sz w:val="17"/>
                  <w:szCs w:val="17"/>
                  <w:color w:val="0000EE"/>
                </w:rPr>
                <w:t>reference to the Company’s Current Report on Form 8-K as filed with the Commission on March 17, 2020.)</w:t>
              </w:r>
            </w:hyperlink>
          </w:p>
        </w:tc>
        <w:tc>
          <w:tcPr>
            <w:tcW w:w="600" w:type="dxa"/>
            <w:vAlign w:val="bottom"/>
            <w:tcBorders>
              <w:top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10.9***</w:t>
            </w:r>
          </w:p>
        </w:tc>
        <w:tc>
          <w:tcPr>
            <w:tcW w:w="10120" w:type="dxa"/>
            <w:vAlign w:val="bottom"/>
            <w:gridSpan w:val="31"/>
            <w:shd w:val="clear" w:color="auto" w:fill="CCEEFF"/>
          </w:tcPr>
          <w:p>
            <w:pPr>
              <w:spacing w:after="0" w:line="161"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Work Order, dated as of June 22, 2020, by and between Galectin Therapeutics Inc. and Covance Inc. (Incorporated by reference to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660" w:type="dxa"/>
            <w:vAlign w:val="bottom"/>
            <w:tcBorders>
              <w:top w:val="single" w:sz="8" w:color="0000EE"/>
            </w:tcBorders>
            <w:gridSpan w:val="22"/>
            <w:shd w:val="clear" w:color="auto" w:fill="CCEEFF"/>
          </w:tcPr>
          <w:p>
            <w:pPr>
              <w:spacing w:after="0" w:line="179"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Current Report on Form 8-K as filed with the Commission on June 26, 2020.)</w:t>
              </w:r>
            </w:hyperlink>
          </w:p>
        </w:tc>
        <w:tc>
          <w:tcPr>
            <w:tcW w:w="460" w:type="dxa"/>
            <w:vAlign w:val="bottom"/>
            <w:tcBorders>
              <w:top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10.10</w:t>
            </w:r>
          </w:p>
        </w:tc>
        <w:tc>
          <w:tcPr>
            <w:tcW w:w="9460" w:type="dxa"/>
            <w:vAlign w:val="bottom"/>
            <w:tcBorders>
              <w:bottom w:val="single" w:sz="8" w:color="0000EE"/>
            </w:tcBorders>
            <w:gridSpan w:val="18"/>
            <w:shd w:val="clear" w:color="auto" w:fill="CCEEFF"/>
          </w:tcPr>
          <w:p>
            <w:pPr>
              <w:spacing w:after="0" w:line="161" w:lineRule="exact"/>
              <w:rPr>
                <w:rFonts w:ascii="Times New Roman" w:cs="Times New Roman" w:eastAsia="Times New Roman" w:hAnsi="Times New Roman"/>
                <w:sz w:val="17"/>
                <w:szCs w:val="17"/>
                <w:color w:val="0000EE"/>
                <w:w w:val="97"/>
              </w:rPr>
            </w:pPr>
            <w:hyperlink r:id="rId91">
              <w:r>
                <w:rPr>
                  <w:rFonts w:ascii="Times New Roman" w:cs="Times New Roman" w:eastAsia="Times New Roman" w:hAnsi="Times New Roman"/>
                  <w:sz w:val="17"/>
                  <w:szCs w:val="17"/>
                  <w:color w:val="0000EE"/>
                  <w:w w:val="97"/>
                </w:rPr>
                <w:t>Convertible Promissory Note, dated April 16, 2021 (Incorporated by reference to the Company’s Current Report on Form 8-K as filed with the</w:t>
              </w:r>
            </w:hyperlink>
          </w:p>
        </w:tc>
        <w:tc>
          <w:tcPr>
            <w:tcW w:w="660" w:type="dxa"/>
            <w:vAlign w:val="bottom"/>
            <w:tcBorders>
              <w:bottom w:val="single" w:sz="8" w:color="CCEEFF"/>
            </w:tcBorders>
            <w:gridSpan w:val="1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Commission on April 19, 2021.)</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10.11</w:t>
            </w:r>
          </w:p>
        </w:tc>
        <w:tc>
          <w:tcPr>
            <w:tcW w:w="10080" w:type="dxa"/>
            <w:vAlign w:val="bottom"/>
            <w:tcBorders>
              <w:bottom w:val="single" w:sz="8" w:color="0000EE"/>
            </w:tcBorders>
            <w:gridSpan w:val="30"/>
            <w:shd w:val="clear" w:color="auto" w:fill="CCEEFF"/>
          </w:tcPr>
          <w:p>
            <w:pPr>
              <w:spacing w:after="0" w:line="161" w:lineRule="exact"/>
              <w:rPr>
                <w:rFonts w:ascii="Times New Roman" w:cs="Times New Roman" w:eastAsia="Times New Roman" w:hAnsi="Times New Roman"/>
                <w:sz w:val="17"/>
                <w:szCs w:val="17"/>
                <w:color w:val="0000EE"/>
                <w:w w:val="97"/>
              </w:rPr>
            </w:pPr>
            <w:hyperlink r:id="rId92">
              <w:r>
                <w:rPr>
                  <w:rFonts w:ascii="Times New Roman" w:cs="Times New Roman" w:eastAsia="Times New Roman" w:hAnsi="Times New Roman"/>
                  <w:sz w:val="17"/>
                  <w:szCs w:val="17"/>
                  <w:color w:val="0000EE"/>
                  <w:w w:val="97"/>
                </w:rPr>
                <w:t>Loan Agreement, dated September 17, 2021 (Incorporated by reference to the Company’s Current Report on Form 8-K as filed with the Commission on</w:t>
              </w:r>
            </w:hyperlink>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September 21, 2021.)</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10.12</w:t>
            </w:r>
          </w:p>
        </w:tc>
        <w:tc>
          <w:tcPr>
            <w:tcW w:w="9980" w:type="dxa"/>
            <w:vAlign w:val="bottom"/>
            <w:tcBorders>
              <w:bottom w:val="single" w:sz="8" w:color="0000EE"/>
            </w:tcBorders>
            <w:gridSpan w:val="26"/>
            <w:shd w:val="clear" w:color="auto" w:fill="CCEEFF"/>
          </w:tcPr>
          <w:p>
            <w:pPr>
              <w:spacing w:after="0" w:line="161" w:lineRule="exact"/>
              <w:rPr>
                <w:rFonts w:ascii="Times New Roman" w:cs="Times New Roman" w:eastAsia="Times New Roman" w:hAnsi="Times New Roman"/>
                <w:sz w:val="17"/>
                <w:szCs w:val="17"/>
                <w:color w:val="0000EE"/>
                <w:w w:val="97"/>
              </w:rPr>
            </w:pPr>
            <w:hyperlink r:id="rId93">
              <w:r>
                <w:rPr>
                  <w:rFonts w:ascii="Times New Roman" w:cs="Times New Roman" w:eastAsia="Times New Roman" w:hAnsi="Times New Roman"/>
                  <w:sz w:val="17"/>
                  <w:szCs w:val="17"/>
                  <w:color w:val="0000EE"/>
                  <w:w w:val="97"/>
                </w:rPr>
                <w:t>Unsecured Convertible Promissory Note, dated September 17, 2021 (Incorporated by reference to the Company’s Current Report on Form 8-K as filed</w:t>
              </w:r>
            </w:hyperlink>
          </w:p>
        </w:tc>
        <w:tc>
          <w:tcPr>
            <w:tcW w:w="140" w:type="dxa"/>
            <w:vAlign w:val="bottom"/>
            <w:tcBorders>
              <w:bottom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with the Commission on September 21, 2021.)</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10.13</w:t>
            </w:r>
          </w:p>
        </w:tc>
        <w:tc>
          <w:tcPr>
            <w:tcW w:w="9960" w:type="dxa"/>
            <w:vAlign w:val="bottom"/>
            <w:tcBorders>
              <w:bottom w:val="single" w:sz="8" w:color="0000EE"/>
            </w:tcBorders>
            <w:gridSpan w:val="25"/>
            <w:shd w:val="clear" w:color="auto" w:fill="CCEEFF"/>
          </w:tcPr>
          <w:p>
            <w:pPr>
              <w:spacing w:after="0" w:line="161" w:lineRule="exact"/>
              <w:rPr>
                <w:rFonts w:ascii="Times New Roman" w:cs="Times New Roman" w:eastAsia="Times New Roman" w:hAnsi="Times New Roman"/>
                <w:sz w:val="17"/>
                <w:szCs w:val="17"/>
                <w:color w:val="0000EE"/>
                <w:w w:val="97"/>
              </w:rPr>
            </w:pPr>
            <w:hyperlink r:id="rId94">
              <w:r>
                <w:rPr>
                  <w:rFonts w:ascii="Times New Roman" w:cs="Times New Roman" w:eastAsia="Times New Roman" w:hAnsi="Times New Roman"/>
                  <w:sz w:val="17"/>
                  <w:szCs w:val="17"/>
                  <w:color w:val="0000EE"/>
                  <w:w w:val="97"/>
                </w:rPr>
                <w:t>Unsecured Convertible Promissory Note, dated December 20, 2021 (Incorporated by reference to the Company’s Current Report on Form 8-K as filed</w:t>
              </w:r>
            </w:hyperlink>
          </w:p>
        </w:tc>
        <w:tc>
          <w:tcPr>
            <w:tcW w:w="160" w:type="dxa"/>
            <w:vAlign w:val="bottom"/>
            <w:tcBorders>
              <w:bottom w:val="single" w:sz="8" w:color="CCEEFF"/>
            </w:tcBorders>
            <w:gridSpan w:val="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with the Commission on December 21, 2021.)</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10.14</w:t>
            </w:r>
          </w:p>
        </w:tc>
        <w:tc>
          <w:tcPr>
            <w:tcW w:w="10020" w:type="dxa"/>
            <w:vAlign w:val="bottom"/>
            <w:tcBorders>
              <w:bottom w:val="single" w:sz="8" w:color="0000EE"/>
            </w:tcBorders>
            <w:gridSpan w:val="28"/>
            <w:shd w:val="clear" w:color="auto" w:fill="CCEEFF"/>
          </w:tcPr>
          <w:p>
            <w:pPr>
              <w:spacing w:after="0" w:line="161" w:lineRule="exact"/>
              <w:rPr>
                <w:rFonts w:ascii="Times New Roman" w:cs="Times New Roman" w:eastAsia="Times New Roman" w:hAnsi="Times New Roman"/>
                <w:sz w:val="17"/>
                <w:szCs w:val="17"/>
                <w:color w:val="0000EE"/>
                <w:w w:val="97"/>
              </w:rPr>
            </w:pPr>
            <w:hyperlink r:id="rId95">
              <w:r>
                <w:rPr>
                  <w:rFonts w:ascii="Times New Roman" w:cs="Times New Roman" w:eastAsia="Times New Roman" w:hAnsi="Times New Roman"/>
                  <w:sz w:val="17"/>
                  <w:szCs w:val="17"/>
                  <w:color w:val="0000EE"/>
                  <w:w w:val="97"/>
                </w:rPr>
                <w:t>Line of Credit Letter Agreement, dated as of July 25, 2022, by and between Richard E. Uihlein and the Company. (Incorporated by reference to exhibit</w:t>
              </w:r>
            </w:hyperlink>
          </w:p>
        </w:tc>
        <w:tc>
          <w:tcPr>
            <w:tcW w:w="100" w:type="dxa"/>
            <w:vAlign w:val="bottom"/>
            <w:tcBorders>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0000EE"/>
                </w:rPr>
                <w:t xml:space="preserve"> the Company’s Current Report on Form 8-K as filed with the Commission on July 26, 2022.)</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10.15</w:t>
            </w:r>
          </w:p>
        </w:tc>
        <w:tc>
          <w:tcPr>
            <w:tcW w:w="10120" w:type="dxa"/>
            <w:vAlign w:val="bottom"/>
            <w:gridSpan w:val="31"/>
            <w:shd w:val="clear" w:color="auto" w:fill="CCEEFF"/>
          </w:tcPr>
          <w:p>
            <w:pPr>
              <w:spacing w:after="0" w:line="161" w:lineRule="exact"/>
              <w:rPr>
                <w:rFonts w:ascii="Times New Roman" w:cs="Times New Roman" w:eastAsia="Times New Roman" w:hAnsi="Times New Roman"/>
                <w:sz w:val="17"/>
                <w:szCs w:val="17"/>
                <w:color w:val="0000EE"/>
                <w:w w:val="98"/>
              </w:rPr>
            </w:pPr>
            <w:hyperlink r:id="rId96">
              <w:r>
                <w:rPr>
                  <w:rFonts w:ascii="Times New Roman" w:cs="Times New Roman" w:eastAsia="Times New Roman" w:hAnsi="Times New Roman"/>
                  <w:sz w:val="17"/>
                  <w:szCs w:val="17"/>
                  <w:color w:val="0000EE"/>
                  <w:w w:val="98"/>
                </w:rPr>
                <w:t>Form of Convertible Promissory Note issued to Richard E. Uihlein. (Incorporated by reference to exhibit 10.2 the Company’s Current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EE"/>
            </w:tcBorders>
            <w:gridSpan w:val="25"/>
            <w:shd w:val="clear" w:color="auto" w:fill="CCEEFF"/>
          </w:tcPr>
          <w:p>
            <w:pPr>
              <w:spacing w:after="0" w:line="179"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8-K as filed with the Commission on July 26, 2022.)</w:t>
              </w:r>
            </w:hyperlink>
          </w:p>
        </w:tc>
        <w:tc>
          <w:tcPr>
            <w:tcW w:w="160" w:type="dxa"/>
            <w:vAlign w:val="bottom"/>
            <w:tcBorders>
              <w:top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10.16</w:t>
            </w:r>
          </w:p>
        </w:tc>
        <w:tc>
          <w:tcPr>
            <w:tcW w:w="10120" w:type="dxa"/>
            <w:vAlign w:val="bottom"/>
            <w:tcBorders>
              <w:bottom w:val="single" w:sz="8" w:color="0000EE"/>
            </w:tcBorders>
            <w:gridSpan w:val="31"/>
            <w:shd w:val="clear" w:color="auto" w:fill="CCEEFF"/>
          </w:tcPr>
          <w:p>
            <w:pPr>
              <w:spacing w:after="0" w:line="161" w:lineRule="exact"/>
              <w:rPr>
                <w:rFonts w:ascii="Times New Roman" w:cs="Times New Roman" w:eastAsia="Times New Roman" w:hAnsi="Times New Roman"/>
                <w:sz w:val="17"/>
                <w:szCs w:val="17"/>
                <w:color w:val="0000EE"/>
                <w:w w:val="97"/>
              </w:rPr>
            </w:pPr>
            <w:hyperlink r:id="rId97">
              <w:r>
                <w:rPr>
                  <w:rFonts w:ascii="Times New Roman" w:cs="Times New Roman" w:eastAsia="Times New Roman" w:hAnsi="Times New Roman"/>
                  <w:sz w:val="17"/>
                  <w:szCs w:val="17"/>
                  <w:color w:val="0000EE"/>
                  <w:w w:val="97"/>
                </w:rPr>
                <w:t>Employment Agreement Amendment of Joel Lewis. (Incorporated by reference to exhibit 10.3 the Company’s Current Report on Form 8-K as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the Commission on July 26, 2022.)</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10.17</w:t>
            </w:r>
          </w:p>
        </w:tc>
        <w:tc>
          <w:tcPr>
            <w:tcW w:w="10120" w:type="dxa"/>
            <w:vAlign w:val="bottom"/>
            <w:gridSpan w:val="31"/>
            <w:shd w:val="clear" w:color="auto" w:fill="CCEEFF"/>
          </w:tcPr>
          <w:p>
            <w:pPr>
              <w:spacing w:after="0" w:line="161"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2023 Deferred Stock Unit Agreement. (Incorporated by reference to exhibit 10.4 the Company’s Current Report on Form 8-K as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420" w:type="dxa"/>
            <w:vAlign w:val="bottom"/>
            <w:tcBorders>
              <w:top w:val="single" w:sz="8" w:color="0000EE"/>
            </w:tcBorders>
            <w:gridSpan w:val="17"/>
            <w:shd w:val="clear" w:color="auto" w:fill="CCEEFF"/>
          </w:tcPr>
          <w:p>
            <w:pPr>
              <w:spacing w:after="0" w:line="179"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Commission on July 26, 2022.)</w:t>
              </w:r>
            </w:hyperlink>
          </w:p>
        </w:tc>
        <w:tc>
          <w:tcPr>
            <w:tcW w:w="700" w:type="dxa"/>
            <w:vAlign w:val="bottom"/>
            <w:tcBorders>
              <w:top w:val="single" w:sz="8" w:color="CCEEFF"/>
            </w:tcBorders>
            <w:gridSpan w:val="1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10.18</w:t>
            </w:r>
          </w:p>
        </w:tc>
        <w:tc>
          <w:tcPr>
            <w:tcW w:w="10120" w:type="dxa"/>
            <w:vAlign w:val="bottom"/>
            <w:gridSpan w:val="31"/>
            <w:shd w:val="clear" w:color="auto" w:fill="CCEEFF"/>
          </w:tcPr>
          <w:p>
            <w:pPr>
              <w:spacing w:after="0" w:line="161" w:lineRule="exact"/>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2020 Deferred Stock Unit Amendment. (Incorporated by reference to exhibit 10.5 the Company’s Current Report on Form 8-K as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0000EE"/>
            </w:tcBorders>
            <w:gridSpan w:val="19"/>
            <w:shd w:val="clear" w:color="auto" w:fill="CCEEFF"/>
          </w:tcPr>
          <w:p>
            <w:pPr>
              <w:spacing w:after="0" w:line="179" w:lineRule="exact"/>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Commission on July 26, 2022.)</w:t>
              </w:r>
            </w:hyperlink>
          </w:p>
        </w:tc>
        <w:tc>
          <w:tcPr>
            <w:tcW w:w="620" w:type="dxa"/>
            <w:vAlign w:val="bottom"/>
            <w:tcBorders>
              <w:top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10.19</w:t>
            </w:r>
          </w:p>
        </w:tc>
        <w:tc>
          <w:tcPr>
            <w:tcW w:w="10000" w:type="dxa"/>
            <w:vAlign w:val="bottom"/>
            <w:tcBorders>
              <w:bottom w:val="single" w:sz="8" w:color="0000EE"/>
            </w:tcBorders>
            <w:gridSpan w:val="27"/>
            <w:shd w:val="clear" w:color="auto" w:fill="CCEEFF"/>
          </w:tcPr>
          <w:p>
            <w:pPr>
              <w:spacing w:after="0" w:line="161" w:lineRule="exact"/>
              <w:rPr>
                <w:rFonts w:ascii="Times New Roman" w:cs="Times New Roman" w:eastAsia="Times New Roman" w:hAnsi="Times New Roman"/>
                <w:sz w:val="17"/>
                <w:szCs w:val="17"/>
                <w:color w:val="0000EE"/>
                <w:w w:val="97"/>
              </w:rPr>
            </w:pPr>
            <w:hyperlink r:id="rId100">
              <w:r>
                <w:rPr>
                  <w:rFonts w:ascii="Times New Roman" w:cs="Times New Roman" w:eastAsia="Times New Roman" w:hAnsi="Times New Roman"/>
                  <w:sz w:val="17"/>
                  <w:szCs w:val="17"/>
                  <w:color w:val="0000EE"/>
                  <w:w w:val="97"/>
                </w:rPr>
                <w:t>Supplemental Line of Credit Agreement, dated as of March 29, 2024, by and between Richard E. Uihlein and the Company. (incorporated by reference</w:t>
              </w:r>
            </w:hyperlink>
          </w:p>
        </w:tc>
        <w:tc>
          <w:tcPr>
            <w:tcW w:w="120" w:type="dxa"/>
            <w:vAlign w:val="bottom"/>
            <w:tcBorders>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to Exhibit 10.19 to the Company’s Annual Report on form 10-K for the year ended December 31, 2023, as filed on March 29, 2024)</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10.20</w:t>
            </w:r>
          </w:p>
        </w:tc>
        <w:tc>
          <w:tcPr>
            <w:tcW w:w="9780" w:type="dxa"/>
            <w:vAlign w:val="bottom"/>
            <w:tcBorders>
              <w:bottom w:val="single" w:sz="8" w:color="0000EE"/>
            </w:tcBorders>
            <w:gridSpan w:val="23"/>
            <w:shd w:val="clear" w:color="auto" w:fill="CCEEFF"/>
          </w:tcPr>
          <w:p>
            <w:pPr>
              <w:spacing w:after="0" w:line="161" w:lineRule="exact"/>
              <w:rPr>
                <w:rFonts w:ascii="Times New Roman" w:cs="Times New Roman" w:eastAsia="Times New Roman" w:hAnsi="Times New Roman"/>
                <w:sz w:val="17"/>
                <w:szCs w:val="17"/>
                <w:color w:val="0000EE"/>
                <w:w w:val="97"/>
              </w:rPr>
            </w:pPr>
            <w:hyperlink r:id="rId101">
              <w:r>
                <w:rPr>
                  <w:rFonts w:ascii="Times New Roman" w:cs="Times New Roman" w:eastAsia="Times New Roman" w:hAnsi="Times New Roman"/>
                  <w:sz w:val="17"/>
                  <w:szCs w:val="17"/>
                  <w:color w:val="0000EE"/>
                  <w:w w:val="97"/>
                </w:rPr>
                <w:t>Form of Convertible Promissory Note issued to Richard E. Uihlein (incorporated by reference to Exhibit 10.20 to the Company’s Annual Report on</w:t>
              </w:r>
            </w:hyperlink>
          </w:p>
        </w:tc>
        <w:tc>
          <w:tcPr>
            <w:tcW w:w="340" w:type="dxa"/>
            <w:vAlign w:val="bottom"/>
            <w:tcBorders>
              <w:bottom w:val="single" w:sz="8" w:color="CCEEFF"/>
            </w:tcBorders>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form 10-K for the year ended December 31, 2023, as filed on March 29, 2024)</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10.20</w:t>
            </w:r>
          </w:p>
        </w:tc>
        <w:tc>
          <w:tcPr>
            <w:tcW w:w="10000" w:type="dxa"/>
            <w:vAlign w:val="bottom"/>
            <w:tcBorders>
              <w:bottom w:val="single" w:sz="8" w:color="0000EE"/>
            </w:tcBorders>
            <w:gridSpan w:val="27"/>
            <w:shd w:val="clear" w:color="auto" w:fill="CCEEFF"/>
          </w:tcPr>
          <w:p>
            <w:pPr>
              <w:spacing w:after="0" w:line="161" w:lineRule="exact"/>
              <w:rPr>
                <w:rFonts w:ascii="Times New Roman" w:cs="Times New Roman" w:eastAsia="Times New Roman" w:hAnsi="Times New Roman"/>
                <w:sz w:val="17"/>
                <w:szCs w:val="17"/>
                <w:color w:val="0000EE"/>
                <w:w w:val="97"/>
              </w:rPr>
            </w:pPr>
            <w:hyperlink r:id="rId102">
              <w:r>
                <w:rPr>
                  <w:rFonts w:ascii="Times New Roman" w:cs="Times New Roman" w:eastAsia="Times New Roman" w:hAnsi="Times New Roman"/>
                  <w:sz w:val="17"/>
                  <w:szCs w:val="17"/>
                  <w:color w:val="0000EE"/>
                  <w:w w:val="97"/>
                </w:rPr>
                <w:t>Supplemental Line of Credit Agreement, dated as of March 29, 2024, by and between Richard E. Uihlein and the Company. (incorporated by reference</w:t>
              </w:r>
            </w:hyperlink>
          </w:p>
        </w:tc>
        <w:tc>
          <w:tcPr>
            <w:tcW w:w="120" w:type="dxa"/>
            <w:vAlign w:val="bottom"/>
            <w:tcBorders>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to Exhibit 10.1 to the Company’s Quarterly Report on form 10-Q for the nine months ended September 30, 2024, as filed on November 14, 2024)</w:t>
              </w:r>
            </w:hyperlink>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10.21*</w:t>
            </w:r>
          </w:p>
        </w:tc>
        <w:tc>
          <w:tcPr>
            <w:tcW w:w="10000" w:type="dxa"/>
            <w:vAlign w:val="bottom"/>
            <w:tcBorders>
              <w:bottom w:val="single" w:sz="8" w:color="0000EE"/>
            </w:tcBorders>
            <w:gridSpan w:val="27"/>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EE"/>
                <w:w w:val="97"/>
              </w:rPr>
              <w:t>Supplemental Line of Credit Agreement, dated as of March 31, 2025, by and between Richard E. Uihlein and the Company. (incorporated by reference</w:t>
            </w:r>
          </w:p>
        </w:tc>
        <w:tc>
          <w:tcPr>
            <w:tcW w:w="120" w:type="dxa"/>
            <w:vAlign w:val="bottom"/>
            <w:tcBorders>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120" w:type="dxa"/>
            <w:vAlign w:val="bottom"/>
            <w:gridSpan w:val="31"/>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to Exhibit 10.21 to the Company’s Annual Report on form 10-K for the year ended December 31, 2024, as filed on March 31, 2025)</w:t>
            </w: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5160" w:type="dxa"/>
            <w:vAlign w:val="bottom"/>
            <w:tcBorders>
              <w:top w:val="single" w:sz="8" w:color="0000EE"/>
            </w:tcBorders>
            <w:gridSpan w:val="8"/>
          </w:tcPr>
          <w:p>
            <w:pPr>
              <w:ind w:left="4440"/>
              <w:spacing w:after="0"/>
              <w:rPr>
                <w:sz w:val="20"/>
                <w:szCs w:val="20"/>
                <w:color w:val="auto"/>
              </w:rPr>
            </w:pPr>
            <w:r>
              <w:rPr>
                <w:rFonts w:ascii="Times New Roman" w:cs="Times New Roman" w:eastAsia="Times New Roman" w:hAnsi="Times New Roman"/>
                <w:sz w:val="13"/>
                <w:szCs w:val="13"/>
                <w:color w:val="auto"/>
              </w:rPr>
              <w:t>45</w:t>
            </w: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52" w:name="page53"/>
    <w:bookmarkEnd w:id="52"/>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0000EE"/>
              </w:rPr>
              <w:t>Index</w:t>
            </w: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340" w:type="dxa"/>
            <w:vAlign w:val="bottom"/>
            <w:gridSpan w:val="4"/>
          </w:tcPr>
          <w:p>
            <w:pPr>
              <w:ind w:left="1400"/>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19*</w:t>
            </w:r>
          </w:p>
        </w:tc>
        <w:tc>
          <w:tcPr>
            <w:tcW w:w="800" w:type="dxa"/>
            <w:vAlign w:val="bottom"/>
            <w:shd w:val="clear" w:color="auto" w:fill="CCEEFF"/>
          </w:tcPr>
          <w:p>
            <w:pPr>
              <w:spacing w:after="0"/>
              <w:rPr>
                <w:sz w:val="15"/>
                <w:szCs w:val="15"/>
                <w:color w:val="auto"/>
              </w:rPr>
            </w:pPr>
          </w:p>
        </w:tc>
        <w:tc>
          <w:tcPr>
            <w:tcW w:w="10120" w:type="dxa"/>
            <w:vAlign w:val="bottom"/>
            <w:gridSpan w:val="6"/>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EE"/>
              </w:rPr>
              <w:t>Insider Trading Policy</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3"/>
              </w:rPr>
              <w:t>21.1</w:t>
            </w:r>
          </w:p>
        </w:tc>
        <w:tc>
          <w:tcPr>
            <w:tcW w:w="800" w:type="dxa"/>
            <w:vAlign w:val="bottom"/>
            <w:shd w:val="clear" w:color="auto" w:fill="CCEEFF"/>
          </w:tcPr>
          <w:p>
            <w:pPr>
              <w:spacing w:after="0"/>
              <w:rPr>
                <w:sz w:val="15"/>
                <w:szCs w:val="15"/>
                <w:color w:val="auto"/>
              </w:rPr>
            </w:pPr>
          </w:p>
        </w:tc>
        <w:tc>
          <w:tcPr>
            <w:tcW w:w="10120" w:type="dxa"/>
            <w:vAlign w:val="bottom"/>
            <w:gridSpan w:val="6"/>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EE"/>
              </w:rPr>
              <w:t>Subsidiaries of Galectin Therapeutics Inc.</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23.1*</w:t>
            </w:r>
          </w:p>
        </w:tc>
        <w:tc>
          <w:tcPr>
            <w:tcW w:w="10120" w:type="dxa"/>
            <w:vAlign w:val="bottom"/>
            <w:gridSpan w:val="6"/>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EE"/>
              </w:rPr>
              <w:t>Consent of Cherry Bekaert LLP, an independent registered public accounting firm.</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31.1*</w:t>
            </w:r>
          </w:p>
        </w:tc>
        <w:tc>
          <w:tcPr>
            <w:tcW w:w="10120" w:type="dxa"/>
            <w:vAlign w:val="bottom"/>
            <w:gridSpan w:val="6"/>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EE"/>
              </w:rPr>
              <w:t>Certification Pursuant to Rule 13a-14(a) of the Securities Exchange Act of 1934.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31.2*</w:t>
            </w:r>
          </w:p>
        </w:tc>
        <w:tc>
          <w:tcPr>
            <w:tcW w:w="10120" w:type="dxa"/>
            <w:vAlign w:val="bottom"/>
            <w:gridSpan w:val="6"/>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EE"/>
              </w:rPr>
              <w:t>Certification Pursuant to Rule 13a-14(a) of the Securities Exchange Act of 1934.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32.1#</w:t>
            </w:r>
          </w:p>
        </w:tc>
        <w:tc>
          <w:tcPr>
            <w:tcW w:w="10120" w:type="dxa"/>
            <w:vAlign w:val="bottom"/>
            <w:gridSpan w:val="6"/>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EE"/>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1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32.2#</w:t>
            </w:r>
          </w:p>
        </w:tc>
        <w:tc>
          <w:tcPr>
            <w:tcW w:w="10120" w:type="dxa"/>
            <w:vAlign w:val="bottom"/>
            <w:gridSpan w:val="6"/>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EE"/>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97*</w:t>
            </w:r>
          </w:p>
        </w:tc>
        <w:tc>
          <w:tcPr>
            <w:tcW w:w="800" w:type="dxa"/>
            <w:vAlign w:val="bottom"/>
            <w:shd w:val="clear" w:color="auto" w:fill="CCEEFF"/>
          </w:tcPr>
          <w:p>
            <w:pPr>
              <w:spacing w:after="0"/>
              <w:rPr>
                <w:sz w:val="17"/>
                <w:szCs w:val="17"/>
                <w:color w:val="auto"/>
              </w:rPr>
            </w:pP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Compensation Clawback Policy</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1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101.INS</w:t>
            </w:r>
          </w:p>
        </w:tc>
        <w:tc>
          <w:tcPr>
            <w:tcW w:w="1012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w w:val="98"/>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document.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101.SCH</w:t>
            </w: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10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121" w:right="540" w:hanging="1121"/>
        <w:spacing w:after="0" w:line="267" w:lineRule="auto"/>
        <w:tabs>
          <w:tab w:leader="none" w:pos="112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for the Company’s Annual Report on Form 10-K for the year ended December 31, 2021, has been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43750" cy="252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7143750" cy="252095"/>
                    </a:xfrm>
                    <a:prstGeom prst="rect">
                      <a:avLst/>
                    </a:prstGeom>
                    <a:noFill/>
                  </pic:spPr>
                </pic:pic>
              </a:graphicData>
            </a:graphic>
          </wp:anchor>
        </w:drawing>
      </w:r>
    </w:p>
    <w:p>
      <w:pPr>
        <w:spacing w:after="0" w:line="140" w:lineRule="exact"/>
        <w:rPr>
          <w:sz w:val="20"/>
          <w:szCs w:val="20"/>
          <w:color w:val="auto"/>
        </w:rPr>
      </w:pPr>
    </w:p>
    <w:p>
      <w:pPr>
        <w:ind w:left="441" w:hanging="441"/>
        <w:spacing w:after="0"/>
        <w:tabs>
          <w:tab w:leader="none" w:pos="44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p>
    <w:p>
      <w:pPr>
        <w:ind w:left="441" w:hanging="441"/>
        <w:spacing w:after="0"/>
        <w:tabs>
          <w:tab w:leader="none" w:pos="44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 and not “filed” for purposes of Section 18 of the Securities Exchange Act of 1934, as amended.</w:t>
      </w:r>
    </w:p>
    <w:p>
      <w:pPr>
        <w:spacing w:after="0" w:line="3" w:lineRule="exact"/>
        <w:rPr>
          <w:sz w:val="20"/>
          <w:szCs w:val="20"/>
          <w:color w:val="auto"/>
        </w:rPr>
      </w:pPr>
    </w:p>
    <w:p>
      <w:pPr>
        <w:ind w:left="441" w:hanging="441"/>
        <w:spacing w:after="0" w:line="243" w:lineRule="auto"/>
        <w:tabs>
          <w:tab w:leader="none" w:pos="44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441" w:hanging="441"/>
        <w:spacing w:after="0"/>
        <w:tabs>
          <w:tab w:leader="none" w:pos="44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Compensation Arrangement pursuant to 601(b)(10)(iii)(A) of Regulation S-K</w:t>
      </w:r>
    </w:p>
    <w:p>
      <w:pPr>
        <w:spacing w:after="0" w:line="181" w:lineRule="exact"/>
        <w:rPr>
          <w:sz w:val="20"/>
          <w:szCs w:val="20"/>
          <w:color w:val="auto"/>
        </w:rPr>
      </w:pPr>
    </w:p>
    <w:p>
      <w:pPr>
        <w:ind w:left="1"/>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5"/>
          <w:szCs w:val="15"/>
          <w:b w:val="1"/>
          <w:bCs w:val="1"/>
          <w:color w:val="auto"/>
        </w:rPr>
        <w:t>Form 10–K Summary</w:t>
      </w:r>
    </w:p>
    <w:p>
      <w:pPr>
        <w:spacing w:after="0" w:line="2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None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March 31, 2025.</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GALECTIN THERAPEUTICS INC.</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1905</wp:posOffset>
            </wp:positionV>
            <wp:extent cx="334708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3347085" cy="1587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7"/>
          <w:szCs w:val="17"/>
          <w:color w:val="auto"/>
        </w:rPr>
        <w:t>Name: JOEL LEWIS.</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18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5" w:right="339" w:bottom="1440" w:gutter="0" w:footer="0" w:header="0"/>
        </w:sectPr>
      </w:pPr>
    </w:p>
    <w:p>
      <w:pPr>
        <w:spacing w:after="0" w:line="15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2989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Joel Lewis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Jack W. Callicutt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RICHARD E. UIHLEIN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Richard E. Uihlein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GILBERT F. AMELIO,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Gilbert F. Amelio, Ph.D.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BENJAMIN S. CARSON, SR.,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292989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Benjamin S. Carson, Sr., M.D.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KARY ELDRED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Kary Eldred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KEVIN D.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D. Freeman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GILBERT S. OMENN,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292989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Gilbert S. Omenn, M.D., Ph.D.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 RUBIN,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 Rubin, M.D.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ELISSA J. SCHWARTZ,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Elissa J. Schwartz, Ph.D.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HAROLD H.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Harold H. Shlevin, Ph.D.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RICHARD A. ZORDANI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92989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292989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Richard A. Zordani</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20" w:type="dxa"/>
            <w:vAlign w:val="bottom"/>
          </w:tcPr>
          <w:p>
            <w:pPr>
              <w:spacing w:after="0"/>
              <w:rPr>
                <w:sz w:val="19"/>
                <w:szCs w:val="19"/>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40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1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780" w:type="dxa"/>
            <w:vAlign w:val="bottom"/>
          </w:tcPr>
          <w:p>
            <w:pPr>
              <w:spacing w:after="0"/>
              <w:rPr>
                <w:sz w:val="18"/>
                <w:szCs w:val="18"/>
                <w:color w:val="auto"/>
              </w:rPr>
            </w:pPr>
          </w:p>
        </w:tc>
      </w:tr>
      <w:tr>
        <w:trPr>
          <w:trHeight w:val="40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1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780" w:type="dxa"/>
            <w:vAlign w:val="bottom"/>
          </w:tcPr>
          <w:p>
            <w:pPr>
              <w:spacing w:after="0"/>
              <w:rPr>
                <w:sz w:val="18"/>
                <w:szCs w:val="18"/>
                <w:color w:val="auto"/>
              </w:rPr>
            </w:pPr>
          </w:p>
        </w:tc>
      </w:tr>
      <w:tr>
        <w:trPr>
          <w:trHeight w:val="409"/>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 and Chairman of the Board</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r>
        <w:trPr>
          <w:trHeight w:val="62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March 31, 2025</w:t>
            </w:r>
          </w:p>
        </w:tc>
      </w:tr>
    </w:tbl>
    <w:p>
      <w:pPr>
        <w:spacing w:after="0" w:line="391" w:lineRule="exact"/>
        <w:rPr>
          <w:sz w:val="20"/>
          <w:szCs w:val="20"/>
          <w:color w:val="auto"/>
        </w:rPr>
      </w:pPr>
    </w:p>
    <w:p>
      <w:pPr>
        <w:sectPr>
          <w:pgSz w:w="11900" w:h="16838" w:orient="portrait"/>
          <w:cols w:equalWidth="0" w:num="2">
            <w:col w:w="4000" w:space="720"/>
            <w:col w:w="6520"/>
          </w:cols>
          <w:pgMar w:left="320" w:top="115" w:right="339" w:bottom="1440" w:gutter="0" w:footer="0" w:header="0"/>
          <w:type w:val="continuous"/>
        </w:sectPr>
      </w:pP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Galectin Therapeutics Inc. and subsidiaries</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color w:val="0000EE"/>
              </w:rPr>
              <w:t>Reports of Independent Registered Public Accounting Firm</w:t>
            </w:r>
            <w:r>
              <w:rPr>
                <w:rFonts w:ascii="Times New Roman" w:cs="Times New Roman" w:eastAsia="Times New Roman" w:hAnsi="Times New Roman"/>
                <w:sz w:val="17"/>
                <w:szCs w:val="17"/>
                <w:color w:val="auto"/>
              </w:rPr>
              <w:t xml:space="preserve"> (PCAOB ID 677)</w:t>
            </w:r>
          </w:p>
        </w:tc>
        <w:tc>
          <w:tcPr>
            <w:tcW w:w="278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7"/>
                <w:szCs w:val="17"/>
                <w:color w:val="auto"/>
                <w:w w:val="84"/>
              </w:rPr>
              <w:t>F-1</w:t>
            </w:r>
          </w:p>
        </w:tc>
      </w:tr>
      <w:tr>
        <w:trPr>
          <w:trHeight w:val="37"/>
        </w:trPr>
        <w:tc>
          <w:tcPr>
            <w:tcW w:w="120" w:type="dxa"/>
            <w:vAlign w:val="bottom"/>
            <w:shd w:val="clear" w:color="auto" w:fill="CCEEFF"/>
          </w:tcPr>
          <w:p>
            <w:pPr>
              <w:spacing w:after="0"/>
              <w:rPr>
                <w:sz w:val="3"/>
                <w:szCs w:val="3"/>
                <w:color w:val="auto"/>
              </w:rPr>
            </w:pPr>
          </w:p>
        </w:tc>
        <w:tc>
          <w:tcPr>
            <w:tcW w:w="394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r>
      <w:tr>
        <w:trPr>
          <w:trHeight w:val="161"/>
        </w:trPr>
        <w:tc>
          <w:tcPr>
            <w:tcW w:w="8560" w:type="dxa"/>
            <w:vAlign w:val="bottom"/>
            <w:gridSpan w:val="5"/>
          </w:tcPr>
          <w:p>
            <w:pPr>
              <w:spacing w:after="0" w:line="161" w:lineRule="exact"/>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color w:val="0000EE"/>
              </w:rPr>
              <w:t>Consolidated Balance Sheets as of December 31, 2024 and 2023</w:t>
            </w:r>
          </w:p>
        </w:tc>
        <w:tc>
          <w:tcPr>
            <w:tcW w:w="2780" w:type="dxa"/>
            <w:vAlign w:val="bottom"/>
          </w:tcPr>
          <w:p>
            <w:pPr>
              <w:ind w:left="2560"/>
              <w:spacing w:after="0" w:line="161" w:lineRule="exact"/>
              <w:rPr>
                <w:sz w:val="20"/>
                <w:szCs w:val="20"/>
                <w:color w:val="auto"/>
              </w:rPr>
            </w:pPr>
            <w:r>
              <w:rPr>
                <w:rFonts w:ascii="Times New Roman" w:cs="Times New Roman" w:eastAsia="Times New Roman" w:hAnsi="Times New Roman"/>
                <w:sz w:val="17"/>
                <w:szCs w:val="17"/>
                <w:color w:val="auto"/>
                <w:w w:val="84"/>
              </w:rPr>
              <w:t>F-3</w:t>
            </w:r>
          </w:p>
        </w:tc>
      </w:tr>
      <w:tr>
        <w:trPr>
          <w:trHeight w:val="20"/>
        </w:trPr>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78"/>
        </w:trPr>
        <w:tc>
          <w:tcPr>
            <w:tcW w:w="8560" w:type="dxa"/>
            <w:vAlign w:val="bottom"/>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color w:val="0000EE"/>
              </w:rPr>
              <w:t>Consolidated Statements of Operations for the years ended December 31, 2024 and 2023</w:t>
            </w:r>
          </w:p>
        </w:tc>
        <w:tc>
          <w:tcPr>
            <w:tcW w:w="2780" w:type="dxa"/>
            <w:vAlign w:val="bottom"/>
            <w:shd w:val="clear" w:color="auto" w:fill="CCEEFF"/>
          </w:tcPr>
          <w:p>
            <w:pPr>
              <w:ind w:left="2560"/>
              <w:spacing w:after="0" w:line="179" w:lineRule="exact"/>
              <w:rPr>
                <w:sz w:val="20"/>
                <w:szCs w:val="20"/>
                <w:color w:val="auto"/>
              </w:rPr>
            </w:pPr>
            <w:r>
              <w:rPr>
                <w:rFonts w:ascii="Times New Roman" w:cs="Times New Roman" w:eastAsia="Times New Roman" w:hAnsi="Times New Roman"/>
                <w:sz w:val="17"/>
                <w:szCs w:val="17"/>
                <w:color w:val="auto"/>
                <w:w w:val="84"/>
              </w:rPr>
              <w:t>F-4</w:t>
            </w:r>
          </w:p>
        </w:tc>
      </w:tr>
      <w:tr>
        <w:trPr>
          <w:trHeight w:val="37"/>
        </w:trPr>
        <w:tc>
          <w:tcPr>
            <w:tcW w:w="120" w:type="dxa"/>
            <w:vAlign w:val="bottom"/>
            <w:shd w:val="clear" w:color="auto" w:fill="CCEEFF"/>
          </w:tcPr>
          <w:p>
            <w:pPr>
              <w:spacing w:after="0"/>
              <w:rPr>
                <w:sz w:val="3"/>
                <w:szCs w:val="3"/>
                <w:color w:val="auto"/>
              </w:rPr>
            </w:pPr>
          </w:p>
        </w:tc>
        <w:tc>
          <w:tcPr>
            <w:tcW w:w="39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600" w:type="dxa"/>
            <w:vAlign w:val="bottom"/>
            <w:shd w:val="clear" w:color="auto" w:fill="0000EE"/>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r>
    </w:tbl>
    <w:p>
      <w:pPr>
        <w:spacing w:after="0"/>
        <w:rPr>
          <w:sz w:val="20"/>
          <w:szCs w:val="20"/>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15"/>
          <w:szCs w:val="15"/>
          <w:color w:val="0000EE"/>
        </w:rPr>
        <w:t>Consolidated Statements of Changes in Redeemable Convertible Preferred Stock and Stockholders’ Equity (Deficit) for the years ended December 31, 2024 and 2023</w:t>
      </w:r>
      <w:r>
        <w:rPr>
          <w:rFonts w:ascii="Times New Roman" w:cs="Times New Roman" w:eastAsia="Times New Roman" w:hAnsi="Times New Roman"/>
          <w:sz w:val="15"/>
          <w:szCs w:val="15"/>
          <w:color w:val="auto"/>
        </w:rPr>
        <w:t xml:space="preserve">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wp:posOffset>
            </wp:positionV>
            <wp:extent cx="69729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697293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8580" w:type="dxa"/>
            <w:vAlign w:val="bottom"/>
            <w:gridSpan w:val="4"/>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17"/>
                <w:szCs w:val="17"/>
                <w:color w:val="0000EE"/>
              </w:rPr>
              <w:t>Consolidated Statements of Cash Flows for the years ended December 31, 2024 and 2023</w:t>
            </w:r>
          </w:p>
        </w:tc>
        <w:tc>
          <w:tcPr>
            <w:tcW w:w="2760" w:type="dxa"/>
            <w:vAlign w:val="bottom"/>
            <w:gridSpan w:val="2"/>
            <w:shd w:val="clear" w:color="auto" w:fill="CCEEFF"/>
          </w:tcPr>
          <w:p>
            <w:pPr>
              <w:ind w:left="2540"/>
              <w:spacing w:after="0" w:line="187" w:lineRule="exact"/>
              <w:rPr>
                <w:sz w:val="20"/>
                <w:szCs w:val="20"/>
                <w:color w:val="auto"/>
              </w:rPr>
            </w:pPr>
            <w:r>
              <w:rPr>
                <w:rFonts w:ascii="Times New Roman" w:cs="Times New Roman" w:eastAsia="Times New Roman" w:hAnsi="Times New Roman"/>
                <w:sz w:val="17"/>
                <w:szCs w:val="17"/>
                <w:color w:val="auto"/>
                <w:w w:val="84"/>
              </w:rPr>
              <w:t>F-7</w:t>
            </w:r>
          </w:p>
        </w:tc>
      </w:tr>
      <w:tr>
        <w:trPr>
          <w:trHeight w:val="37"/>
        </w:trPr>
        <w:tc>
          <w:tcPr>
            <w:tcW w:w="120" w:type="dxa"/>
            <w:vAlign w:val="bottom"/>
            <w:shd w:val="clear" w:color="auto" w:fill="CCEEFF"/>
          </w:tcPr>
          <w:p>
            <w:pPr>
              <w:spacing w:after="0"/>
              <w:rPr>
                <w:sz w:val="3"/>
                <w:szCs w:val="3"/>
                <w:color w:val="auto"/>
              </w:rPr>
            </w:pPr>
          </w:p>
        </w:tc>
        <w:tc>
          <w:tcPr>
            <w:tcW w:w="2900" w:type="dxa"/>
            <w:vAlign w:val="bottom"/>
            <w:shd w:val="clear" w:color="auto" w:fill="0000EE"/>
          </w:tcPr>
          <w:p>
            <w:pPr>
              <w:spacing w:after="0"/>
              <w:rPr>
                <w:sz w:val="3"/>
                <w:szCs w:val="3"/>
                <w:color w:val="auto"/>
              </w:rPr>
            </w:pPr>
          </w:p>
        </w:tc>
        <w:tc>
          <w:tcPr>
            <w:tcW w:w="3040" w:type="dxa"/>
            <w:vAlign w:val="bottom"/>
            <w:shd w:val="clear" w:color="auto" w:fill="0000EE"/>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61"/>
        </w:trPr>
        <w:tc>
          <w:tcPr>
            <w:tcW w:w="8580" w:type="dxa"/>
            <w:vAlign w:val="bottom"/>
            <w:gridSpan w:val="4"/>
          </w:tcPr>
          <w:p>
            <w:pPr>
              <w:spacing w:after="0" w:line="161" w:lineRule="exact"/>
              <w:rPr>
                <w:sz w:val="20"/>
                <w:szCs w:val="20"/>
                <w:color w:val="auto"/>
              </w:rPr>
            </w:pPr>
            <w:r>
              <w:rPr>
                <w:rFonts w:ascii="Times New Roman" w:cs="Times New Roman" w:eastAsia="Times New Roman" w:hAnsi="Times New Roman"/>
                <w:sz w:val="17"/>
                <w:szCs w:val="17"/>
                <w:color w:val="auto"/>
              </w:rPr>
              <w:t>6.</w:t>
            </w:r>
            <w:r>
              <w:rPr>
                <w:rFonts w:ascii="Times New Roman" w:cs="Times New Roman" w:eastAsia="Times New Roman" w:hAnsi="Times New Roman"/>
                <w:sz w:val="17"/>
                <w:szCs w:val="17"/>
                <w:color w:val="0000EE"/>
              </w:rPr>
              <w:t>Notes to Consolidated Financial Statements</w:t>
            </w:r>
          </w:p>
        </w:tc>
        <w:tc>
          <w:tcPr>
            <w:tcW w:w="2760" w:type="dxa"/>
            <w:vAlign w:val="bottom"/>
            <w:gridSpan w:val="2"/>
          </w:tcPr>
          <w:p>
            <w:pPr>
              <w:ind w:left="2540"/>
              <w:spacing w:after="0" w:line="161" w:lineRule="exact"/>
              <w:rPr>
                <w:sz w:val="20"/>
                <w:szCs w:val="20"/>
                <w:color w:val="auto"/>
              </w:rPr>
            </w:pPr>
            <w:r>
              <w:rPr>
                <w:rFonts w:ascii="Times New Roman" w:cs="Times New Roman" w:eastAsia="Times New Roman" w:hAnsi="Times New Roman"/>
                <w:sz w:val="17"/>
                <w:szCs w:val="17"/>
                <w:color w:val="auto"/>
                <w:w w:val="84"/>
              </w:rPr>
              <w:t>F-8</w:t>
            </w:r>
          </w:p>
        </w:tc>
      </w:tr>
      <w:tr>
        <w:trPr>
          <w:trHeight w:val="541"/>
        </w:trPr>
        <w:tc>
          <w:tcPr>
            <w:tcW w:w="120" w:type="dxa"/>
            <w:vAlign w:val="bottom"/>
          </w:tcPr>
          <w:p>
            <w:pPr>
              <w:spacing w:after="0"/>
              <w:rPr>
                <w:sz w:val="24"/>
                <w:szCs w:val="24"/>
                <w:color w:val="auto"/>
              </w:rPr>
            </w:pPr>
          </w:p>
        </w:tc>
        <w:tc>
          <w:tcPr>
            <w:tcW w:w="2900" w:type="dxa"/>
            <w:vAlign w:val="bottom"/>
            <w:tcBorders>
              <w:top w:val="single" w:sz="8" w:color="0000EE"/>
            </w:tcBorders>
          </w:tcPr>
          <w:p>
            <w:pPr>
              <w:spacing w:after="0"/>
              <w:rPr>
                <w:sz w:val="24"/>
                <w:szCs w:val="24"/>
                <w:color w:val="auto"/>
              </w:rPr>
            </w:pPr>
          </w:p>
        </w:tc>
        <w:tc>
          <w:tcPr>
            <w:tcW w:w="30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48</w:t>
            </w:r>
          </w:p>
        </w:tc>
        <w:tc>
          <w:tcPr>
            <w:tcW w:w="2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bl>
    <w:p>
      <w:pPr>
        <w:sectPr>
          <w:pgSz w:w="11900" w:h="16838" w:orient="portrait"/>
          <w:cols w:equalWidth="0" w:num="1">
            <w:col w:w="11340"/>
          </w:cols>
          <w:pgMar w:left="320" w:top="116"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Galectin Therapeutics Inc. and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Galectin Therapeutics Inc. and Subsidiaries (the “Company”) as of December 31, 2024 and 2023, and the related consolidated statements of operations, changes in redeemable convertible preferred stock and stockholders’ equity (deficit), and cash flows for each of the years then ended, and the related notes (collectively referred to as the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Uncertainty</w:t>
      </w:r>
    </w:p>
    <w:p>
      <w:pPr>
        <w:spacing w:after="0" w:line="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and negative cash flows from operations. These conditions raise substantial doubt about the Company’s ability to continue as a going concern. Management’s plans concerning these matters are described in Note 1 to the consolidated financial statements.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our audits provide a reasonable basis for our opinions.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 or on the accounts or disclosures to which it relates.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7"/>
          <w:szCs w:val="17"/>
          <w:i w:val="1"/>
          <w:iCs w:val="1"/>
          <w:color w:val="auto"/>
        </w:rPr>
        <w:t>Description of Matter</w:t>
      </w:r>
      <w:r>
        <w:rPr>
          <w:sz w:val="20"/>
          <w:szCs w:val="20"/>
          <w:color w:val="auto"/>
        </w:rPr>
        <w:tab/>
      </w:r>
      <w:r>
        <w:rPr>
          <w:rFonts w:ascii="Times New Roman" w:cs="Times New Roman" w:eastAsia="Times New Roman" w:hAnsi="Times New Roman"/>
          <w:sz w:val="15"/>
          <w:szCs w:val="15"/>
          <w:b w:val="1"/>
          <w:bCs w:val="1"/>
          <w:i w:val="1"/>
          <w:iCs w:val="1"/>
          <w:color w:val="auto"/>
        </w:rPr>
        <w:t>Accrued and Prepaid Clinical Trial Expenses</w:t>
      </w:r>
    </w:p>
    <w:p>
      <w:pPr>
        <w:spacing w:after="0" w:line="205" w:lineRule="exact"/>
        <w:rPr>
          <w:sz w:val="20"/>
          <w:szCs w:val="20"/>
          <w:color w:val="auto"/>
        </w:rPr>
      </w:pPr>
    </w:p>
    <w:p>
      <w:pPr>
        <w:jc w:val="both"/>
        <w:ind w:left="2040"/>
        <w:spacing w:after="0" w:line="251" w:lineRule="auto"/>
        <w:rPr>
          <w:sz w:val="20"/>
          <w:szCs w:val="20"/>
          <w:color w:val="auto"/>
        </w:rPr>
      </w:pPr>
      <w:r>
        <w:rPr>
          <w:rFonts w:ascii="Times New Roman" w:cs="Times New Roman" w:eastAsia="Times New Roman" w:hAnsi="Times New Roman"/>
          <w:sz w:val="17"/>
          <w:szCs w:val="17"/>
          <w:color w:val="auto"/>
        </w:rPr>
        <w:t>The Company’s accrued expenses total approximately $8.2 million at December 31, 2024, which included the estimated obligation for clinical trial expenses incurred as of December 31, 2024, but not paid as of that date in the amount of approximately $6.6 million. In addition, the Company’s total prepaid expenses and other current assets totaled $2.1 million, which included amounts that were paid in advance of services incurred pursuant to clinical trials in the amount of approximately $1.1 million.</w:t>
      </w:r>
    </w:p>
    <w:p>
      <w:pPr>
        <w:spacing w:after="0" w:line="174" w:lineRule="exact"/>
        <w:rPr>
          <w:sz w:val="20"/>
          <w:szCs w:val="20"/>
          <w:color w:val="auto"/>
        </w:rPr>
      </w:pPr>
    </w:p>
    <w:p>
      <w:pPr>
        <w:jc w:val="both"/>
        <w:ind w:left="2040"/>
        <w:spacing w:after="0" w:line="246"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when the third party contract research organization and other vendor billing terms do not coincide with the Company’s period-end, the Company is required to make estimates of its obligations to those vendors, including personnel costs, allocated facility costs, lab supplies, outside services, contract laboratory costs related to manufacturing drug product, clinical trials, and preclinical studies costs incurred in a given accounting period and record accruals at the end of the period. The Company bases its estimates on its knowledge of the research and development programs, services performed for the period, past history for related activities, and the expected duration of the vendor service contract, where applicable. Payments for these activities are based on the terms of the individual arrangements and may result in payment terms that differ from the pattern of costs incurred. There may be instances in which payments made to vendors will exceed the level of services provided and result in a prepayment of the clinical expense.</w:t>
      </w:r>
    </w:p>
    <w:p>
      <w:pPr>
        <w:spacing w:after="0" w:line="181" w:lineRule="exact"/>
        <w:rPr>
          <w:sz w:val="20"/>
          <w:szCs w:val="20"/>
          <w:color w:val="auto"/>
        </w:rPr>
      </w:pPr>
    </w:p>
    <w:p>
      <w:pPr>
        <w:jc w:val="both"/>
        <w:ind w:left="2040"/>
        <w:spacing w:after="0" w:line="249" w:lineRule="auto"/>
        <w:rPr>
          <w:sz w:val="20"/>
          <w:szCs w:val="20"/>
          <w:color w:val="auto"/>
        </w:rPr>
      </w:pPr>
      <w:r>
        <w:rPr>
          <w:rFonts w:ascii="Times New Roman" w:cs="Times New Roman" w:eastAsia="Times New Roman" w:hAnsi="Times New Roman"/>
          <w:sz w:val="17"/>
          <w:szCs w:val="17"/>
          <w:color w:val="auto"/>
        </w:rPr>
        <w:t>Auditing the Company’s accrued and prepaid clinical trial expenses is especially challenging due to the large volume of information received from multiple vendors that perform services on the Company’s behalf. While the Company’s estimates of accrued and prepaid clinical trial expenses are primarily based on information received related to each study from its vendors, the Company may need to make an estimate for additional costs incurred. Additionally, due to the long duration of clinical trials and the timing of invoicing received from vendors, the actual amounts incurred are not typically known at the time the financial statements are issued.</w:t>
      </w:r>
    </w:p>
    <w:p>
      <w:pPr>
        <w:spacing w:after="0" w:line="17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7"/>
          <w:szCs w:val="17"/>
          <w:i w:val="1"/>
          <w:iCs w:val="1"/>
          <w:color w:val="auto"/>
        </w:rPr>
        <w:t>How We Addressed the</w:t>
      </w:r>
      <w:r>
        <w:rPr>
          <w:sz w:val="20"/>
          <w:szCs w:val="20"/>
          <w:color w:val="auto"/>
        </w:rPr>
        <w:tab/>
      </w:r>
      <w:r>
        <w:rPr>
          <w:rFonts w:ascii="Times New Roman" w:cs="Times New Roman" w:eastAsia="Times New Roman" w:hAnsi="Times New Roman"/>
          <w:sz w:val="15"/>
          <w:szCs w:val="15"/>
          <w:color w:val="auto"/>
        </w:rPr>
        <w:t>Our audit procedures included, among others, the following: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Matter in Our Audit</w:t>
      </w:r>
    </w:p>
    <w:p>
      <w:pPr>
        <w:spacing w:after="0" w:line="3" w:lineRule="exact"/>
        <w:rPr>
          <w:sz w:val="20"/>
          <w:szCs w:val="20"/>
          <w:color w:val="auto"/>
        </w:rPr>
      </w:pPr>
    </w:p>
    <w:p>
      <w:pPr>
        <w:ind w:left="2600" w:hanging="567"/>
        <w:spacing w:after="0" w:line="247" w:lineRule="auto"/>
        <w:tabs>
          <w:tab w:leader="none" w:pos="2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Obtained an understanding of the internal controls and processes in place over the Company’s process used in determining the completeness and existence of accrued and prepaid clinical trial expenses.</w:t>
      </w:r>
    </w:p>
    <w:p>
      <w:pPr>
        <w:spacing w:after="0" w:line="176" w:lineRule="exact"/>
        <w:rPr>
          <w:rFonts w:ascii="Times New Roman" w:cs="Times New Roman" w:eastAsia="Times New Roman" w:hAnsi="Times New Roman"/>
          <w:sz w:val="17"/>
          <w:szCs w:val="17"/>
          <w:color w:val="auto"/>
        </w:rPr>
      </w:pPr>
    </w:p>
    <w:p>
      <w:pPr>
        <w:jc w:val="both"/>
        <w:ind w:left="2600" w:hanging="567"/>
        <w:spacing w:after="0" w:line="249" w:lineRule="auto"/>
        <w:tabs>
          <w:tab w:leader="none" w:pos="2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Tested the accuracy and completeness of the underlying data used in determining the accrued and prepaid clinical trial expenses and evaluating the assumptions and estimates used by management to adjust the actual information received. We corroborated the schedules of the underlying data used in the accrual calculation with the Company’s third party contract research organization who oversees the clinical trials. To evaluate the completeness of the accrual, we also tested subsequent invoices received to assess the impact to the accrual.</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Cherry Bekaert LLP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Atlanta, Georgia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0000EE"/>
                <w:w w:val="96"/>
              </w:rPr>
              <w:t>Index</w:t>
            </w:r>
          </w:p>
        </w:tc>
        <w:tc>
          <w:tcPr>
            <w:tcW w:w="8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2"/>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GALECTIN THERAPEUTICS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b w:val="1"/>
                <w:bCs w:val="1"/>
                <w:color w:val="auto"/>
                <w:w w:val="97"/>
              </w:rPr>
              <w:t>(in thousands,</w:t>
            </w:r>
          </w:p>
        </w:tc>
        <w:tc>
          <w:tcPr>
            <w:tcW w:w="1340" w:type="dxa"/>
            <w:vAlign w:val="bottom"/>
            <w:gridSpan w:val="4"/>
          </w:tcPr>
          <w:p>
            <w:pPr>
              <w:jc w:val="right"/>
              <w:ind w:right="57"/>
              <w:spacing w:after="0" w:line="178" w:lineRule="exact"/>
              <w:rPr>
                <w:sz w:val="20"/>
                <w:szCs w:val="20"/>
                <w:color w:val="auto"/>
              </w:rPr>
            </w:pPr>
            <w:r>
              <w:rPr>
                <w:rFonts w:ascii="Times New Roman" w:cs="Times New Roman" w:eastAsia="Times New Roman" w:hAnsi="Times New Roman"/>
                <w:sz w:val="17"/>
                <w:szCs w:val="17"/>
                <w:b w:val="1"/>
                <w:bCs w:val="1"/>
                <w:color w:val="auto"/>
                <w:w w:val="99"/>
              </w:rPr>
              <w:t>except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Pr>
          <w:p>
            <w:pPr>
              <w:spacing w:after="0"/>
              <w:rPr>
                <w:sz w:val="19"/>
                <w:szCs w:val="19"/>
                <w:color w:val="auto"/>
              </w:rPr>
            </w:pPr>
          </w:p>
        </w:tc>
        <w:tc>
          <w:tcPr>
            <w:tcW w:w="1620" w:type="dxa"/>
            <w:vAlign w:val="bottom"/>
            <w:gridSpan w:val="4"/>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amounts)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6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15,120</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tcPr>
          <w:p>
            <w:pPr>
              <w:spacing w:after="0"/>
              <w:rPr>
                <w:sz w:val="17"/>
                <w:szCs w:val="17"/>
                <w:color w:val="auto"/>
              </w:rPr>
            </w:pPr>
          </w:p>
        </w:tc>
        <w:tc>
          <w:tcPr>
            <w:tcW w:w="116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17,495</w:t>
            </w:r>
          </w:p>
        </w:tc>
        <w:tc>
          <w:tcPr>
            <w:tcW w:w="140" w:type="dxa"/>
            <w:vAlign w:val="bottom"/>
          </w:tcPr>
          <w:p>
            <w:pPr>
              <w:spacing w:after="0"/>
              <w:rPr>
                <w:sz w:val="17"/>
                <w:szCs w:val="17"/>
                <w:color w:val="auto"/>
              </w:rPr>
            </w:pPr>
          </w:p>
        </w:tc>
        <w:tc>
          <w:tcPr>
            <w:tcW w:w="46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86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 STOCK AND STOCKHOLDERS’ EQUITY</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5,656</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portion of convertible notes payable and accrued interest, net of debt discounts – related party (Note 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Current portion of derivative liabilities (Note 6)</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dividends payable</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Convertible notes payable and accrued interest, net of debt discounts – related party (Note 5)</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Derivative liabilities (Note 6)</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 and accrued interest under convertible line of credit, net of debt discount – related party (Note 10)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100" w:type="dxa"/>
            <w:vAlign w:val="bottom"/>
          </w:tcPr>
          <w:p>
            <w:pPr>
              <w:spacing w:after="0"/>
              <w:rPr>
                <w:sz w:val="17"/>
                <w:szCs w:val="17"/>
                <w:color w:val="auto"/>
              </w:rPr>
            </w:pPr>
          </w:p>
        </w:tc>
        <w:tc>
          <w:tcPr>
            <w:tcW w:w="116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120,565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88,441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Series C 6% super dividend redeemable convertible preferred stock; 1,000 shares authorized, 176 issued and outstanding at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December 31, 2024 and 2023, redemption value: $8,018,000, liquidation value: $1,760,000 at December 31, 2024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2"/>
            <w:shd w:val="clear" w:color="auto" w:fill="CCEEFF"/>
          </w:tcPr>
          <w:p>
            <w:pPr>
              <w:ind w:left="280"/>
              <w:spacing w:after="0" w:line="182" w:lineRule="exact"/>
              <w:rPr>
                <w:sz w:val="20"/>
                <w:szCs w:val="20"/>
                <w:color w:val="auto"/>
              </w:rPr>
            </w:pPr>
            <w:r>
              <w:rPr>
                <w:rFonts w:ascii="Times New Roman" w:cs="Times New Roman" w:eastAsia="Times New Roman" w:hAnsi="Times New Roman"/>
                <w:sz w:val="17"/>
                <w:szCs w:val="17"/>
                <w:color w:val="auto"/>
              </w:rPr>
              <w:t>Undesignated stock, $0.01 par value; 20,000,000 shares authorized at December 31, 2024 and 2023, 20,000,000 shares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designated at December 31, 2024 and 2023, respectively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2"/>
          </w:tcPr>
          <w:p>
            <w:pPr>
              <w:ind w:left="280"/>
              <w:spacing w:after="0" w:line="182" w:lineRule="exact"/>
              <w:rPr>
                <w:sz w:val="20"/>
                <w:szCs w:val="20"/>
                <w:color w:val="auto"/>
              </w:rPr>
            </w:pPr>
            <w:r>
              <w:rPr>
                <w:rFonts w:ascii="Times New Roman" w:cs="Times New Roman" w:eastAsia="Times New Roman" w:hAnsi="Times New Roman"/>
                <w:sz w:val="17"/>
                <w:szCs w:val="17"/>
                <w:color w:val="auto"/>
              </w:rPr>
              <w:t>Series A 12% convertible preferred stock; 1,742,500 shares authorized, 1,235,000 and 1,235,000 issued and outstanding at</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December 31, 2024 and 2023, respectively, liquidation value $1,235,000 at December 31, 2024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2"/>
            <w:shd w:val="clear" w:color="auto" w:fill="CCEEFF"/>
          </w:tcPr>
          <w:p>
            <w:pPr>
              <w:ind w:left="280"/>
              <w:spacing w:after="0" w:line="182" w:lineRule="exact"/>
              <w:rPr>
                <w:sz w:val="20"/>
                <w:szCs w:val="20"/>
                <w:color w:val="auto"/>
              </w:rPr>
            </w:pPr>
            <w:r>
              <w:rPr>
                <w:rFonts w:ascii="Times New Roman" w:cs="Times New Roman" w:eastAsia="Times New Roman" w:hAnsi="Times New Roman"/>
                <w:sz w:val="17"/>
                <w:szCs w:val="17"/>
                <w:color w:val="auto"/>
              </w:rPr>
              <w:t>Common stock, $0.001 par value; 150,000,000 shares authorized at December 31, 2024 and 2023, 63,157,235 and</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61,852,914 issued and outstanding at December 31, 2024 and 2023, respectively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291,847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(401,572)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(354,372)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(104,793)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(61,964)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redeemable convertible preferred stock and stockholders’ deficit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0000EE"/>
                <w:w w:val="96"/>
              </w:rPr>
              <w:t>Index</w:t>
            </w:r>
          </w:p>
        </w:tc>
        <w:tc>
          <w:tcPr>
            <w:tcW w:w="8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2"/>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5"/>
          </w:tcPr>
          <w:p>
            <w:pPr>
              <w:jc w:val="center"/>
              <w:ind w:left="417"/>
              <w:spacing w:after="0"/>
              <w:rPr>
                <w:sz w:val="20"/>
                <w:szCs w:val="20"/>
                <w:color w:val="auto"/>
              </w:rPr>
            </w:pPr>
            <w:r>
              <w:rPr>
                <w:rFonts w:ascii="Times New Roman" w:cs="Times New Roman" w:eastAsia="Times New Roman" w:hAnsi="Times New Roman"/>
                <w:sz w:val="17"/>
                <w:szCs w:val="17"/>
                <w:b w:val="1"/>
                <w:bCs w:val="1"/>
                <w:color w:val="auto"/>
                <w:w w:val="93"/>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center"/>
              <w:ind w:left="417"/>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7"/>
          </w:tcPr>
          <w:p>
            <w:pPr>
              <w:jc w:val="center"/>
              <w:ind w:right="340"/>
              <w:spacing w:after="0" w:line="178" w:lineRule="exact"/>
              <w:rPr>
                <w:sz w:val="20"/>
                <w:szCs w:val="20"/>
                <w:color w:val="auto"/>
              </w:rPr>
            </w:pPr>
            <w:r>
              <w:rPr>
                <w:rFonts w:ascii="Times New Roman" w:cs="Times New Roman" w:eastAsia="Times New Roman" w:hAnsi="Times New Roman"/>
                <w:sz w:val="17"/>
                <w:szCs w:val="17"/>
                <w:b w:val="1"/>
                <w:bCs w:val="1"/>
                <w:color w:val="auto"/>
                <w:w w:val="98"/>
              </w:rPr>
              <w:t>(in thousands, except</w:t>
            </w:r>
          </w:p>
        </w:tc>
        <w:tc>
          <w:tcPr>
            <w:tcW w:w="0" w:type="dxa"/>
            <w:vAlign w:val="bottom"/>
          </w:tcPr>
          <w:p>
            <w:pPr>
              <w:spacing w:after="0"/>
              <w:rPr>
                <w:sz w:val="1"/>
                <w:szCs w:val="1"/>
                <w:color w:val="auto"/>
              </w:rPr>
            </w:pPr>
          </w:p>
        </w:tc>
      </w:tr>
      <w:tr>
        <w:trPr>
          <w:trHeight w:val="219"/>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2320" w:type="dxa"/>
            <w:vAlign w:val="bottom"/>
            <w:gridSpan w:val="7"/>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per share amounts)</w:t>
            </w:r>
          </w:p>
        </w:tc>
        <w:tc>
          <w:tcPr>
            <w:tcW w:w="0" w:type="dxa"/>
            <w:vAlign w:val="bottom"/>
          </w:tcPr>
          <w:p>
            <w:pPr>
              <w:spacing w:after="0"/>
              <w:rPr>
                <w:sz w:val="1"/>
                <w:szCs w:val="1"/>
                <w:color w:val="auto"/>
              </w:rPr>
            </w:pPr>
          </w:p>
        </w:tc>
      </w:tr>
      <w:tr>
        <w:trPr>
          <w:trHeight w:val="198"/>
        </w:trPr>
        <w:tc>
          <w:tcPr>
            <w:tcW w:w="86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36,571</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42,433</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Total operating loss</w:t>
            </w:r>
          </w:p>
        </w:tc>
        <w:tc>
          <w:tcPr>
            <w:tcW w:w="24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(42,433)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(38,072)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(5,540)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fair value of derivatives</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other expense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(4,614)</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(47,047)</w:t>
            </w:r>
          </w:p>
        </w:tc>
        <w:tc>
          <w:tcPr>
            <w:tcW w:w="46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(41,066)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 modification</w:t>
            </w:r>
          </w:p>
        </w:tc>
        <w:tc>
          <w:tcPr>
            <w:tcW w:w="24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(3,619)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loss applicable to common stockholders</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(47,200)</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(44,805)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Basic and diluted net loss per share</w:t>
            </w:r>
          </w:p>
        </w:tc>
        <w:tc>
          <w:tcPr>
            <w:tcW w:w="240" w:type="dxa"/>
            <w:vAlign w:val="bottom"/>
          </w:tcPr>
          <w:p>
            <w:pPr>
              <w:jc w:val="right"/>
              <w:ind w:right="77"/>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80"/>
              <w:spacing w:after="0" w:line="188" w:lineRule="exact"/>
              <w:rPr>
                <w:sz w:val="20"/>
                <w:szCs w:val="20"/>
                <w:color w:val="auto"/>
              </w:rPr>
            </w:pPr>
            <w:r>
              <w:rPr>
                <w:rFonts w:ascii="Times New Roman" w:cs="Times New Roman" w:eastAsia="Times New Roman" w:hAnsi="Times New Roman"/>
                <w:sz w:val="17"/>
                <w:szCs w:val="17"/>
                <w:color w:val="auto"/>
              </w:rPr>
              <w:t>(0.76)</w:t>
            </w:r>
          </w:p>
        </w:tc>
        <w:tc>
          <w:tcPr>
            <w:tcW w:w="460" w:type="dxa"/>
            <w:vAlign w:val="bottom"/>
            <w:gridSpan w:val="2"/>
          </w:tcPr>
          <w:p>
            <w:pPr>
              <w:jc w:val="right"/>
              <w:ind w:right="217"/>
              <w:spacing w:after="0" w:line="188"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line="188" w:lineRule="exact"/>
              <w:rPr>
                <w:sz w:val="20"/>
                <w:szCs w:val="20"/>
                <w:color w:val="auto"/>
              </w:rPr>
            </w:pPr>
            <w:r>
              <w:rPr>
                <w:rFonts w:ascii="Times New Roman" w:cs="Times New Roman" w:eastAsia="Times New Roman" w:hAnsi="Times New Roman"/>
                <w:sz w:val="17"/>
                <w:szCs w:val="17"/>
                <w:color w:val="auto"/>
              </w:rPr>
              <w:t>(0.74)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and potential common shares outstanding basic and diluted</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62,309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60,159</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GALECTIN THERAPEUTICS INC. AND SUBSIDIARIES</w:t>
      </w:r>
    </w:p>
    <w:p>
      <w:pPr>
        <w:spacing w:after="0" w:line="24" w:lineRule="exact"/>
        <w:rPr>
          <w:sz w:val="20"/>
          <w:szCs w:val="20"/>
          <w:color w:val="auto"/>
        </w:rPr>
      </w:pPr>
    </w:p>
    <w:p>
      <w:pPr>
        <w:ind w:right="700"/>
        <w:spacing w:after="0" w:line="243" w:lineRule="auto"/>
        <w:rPr>
          <w:sz w:val="20"/>
          <w:szCs w:val="20"/>
          <w:color w:val="auto"/>
        </w:rPr>
      </w:pPr>
      <w:r>
        <w:rPr>
          <w:rFonts w:ascii="Times New Roman" w:cs="Times New Roman" w:eastAsia="Times New Roman" w:hAnsi="Times New Roman"/>
          <w:sz w:val="17"/>
          <w:szCs w:val="17"/>
          <w:b w:val="1"/>
          <w:bCs w:val="1"/>
          <w:color w:val="auto"/>
        </w:rPr>
        <w:t>CONSOLIDATED STATEMENTS OF CHANGES IN REDEEMABLE CONVERTIBLE PREFERRED STOCK AND STOCKHOLDERS’ EQUITY (DEFICIT)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040" w:type="dxa"/>
            <w:vAlign w:val="bottom"/>
            <w:gridSpan w:val="4"/>
          </w:tcPr>
          <w:p>
            <w:pPr>
              <w:jc w:val="center"/>
              <w:ind w:left="337"/>
              <w:spacing w:after="0"/>
              <w:rPr>
                <w:sz w:val="20"/>
                <w:szCs w:val="20"/>
                <w:color w:val="auto"/>
              </w:rPr>
            </w:pPr>
            <w:r>
              <w:rPr>
                <w:rFonts w:ascii="Times New Roman" w:cs="Times New Roman" w:eastAsia="Times New Roman" w:hAnsi="Times New Roman"/>
                <w:sz w:val="17"/>
                <w:szCs w:val="17"/>
                <w:b w:val="1"/>
                <w:bCs w:val="1"/>
                <w:color w:val="auto"/>
                <w:w w:val="98"/>
              </w:rPr>
              <w:t>Series C Super</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040" w:type="dxa"/>
            <w:vAlign w:val="bottom"/>
            <w:gridSpan w:val="4"/>
          </w:tcPr>
          <w:p>
            <w:pPr>
              <w:jc w:val="center"/>
              <w:ind w:left="337"/>
              <w:spacing w:after="0"/>
              <w:rPr>
                <w:sz w:val="20"/>
                <w:szCs w:val="20"/>
                <w:color w:val="auto"/>
              </w:rPr>
            </w:pPr>
            <w:r>
              <w:rPr>
                <w:rFonts w:ascii="Times New Roman" w:cs="Times New Roman" w:eastAsia="Times New Roman" w:hAnsi="Times New Roman"/>
                <w:sz w:val="17"/>
                <w:szCs w:val="17"/>
                <w:b w:val="1"/>
                <w:bCs w:val="1"/>
                <w:color w:val="auto"/>
                <w:w w:val="96"/>
              </w:rPr>
              <w:t>Dividend Redeemable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gridSpan w:val="3"/>
          </w:tcPr>
          <w:p>
            <w:pPr>
              <w:jc w:val="center"/>
              <w:ind w:right="297"/>
              <w:spacing w:after="0"/>
              <w:rPr>
                <w:sz w:val="20"/>
                <w:szCs w:val="20"/>
                <w:color w:val="auto"/>
              </w:rPr>
            </w:pPr>
            <w:r>
              <w:rPr>
                <w:rFonts w:ascii="Times New Roman" w:cs="Times New Roman" w:eastAsia="Times New Roman" w:hAnsi="Times New Roman"/>
                <w:sz w:val="17"/>
                <w:szCs w:val="17"/>
                <w:b w:val="1"/>
                <w:bCs w:val="1"/>
                <w:color w:val="auto"/>
                <w:w w:val="95"/>
              </w:rPr>
              <w:t>Convertible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040" w:type="dxa"/>
            <w:vAlign w:val="bottom"/>
            <w:tcBorders>
              <w:bottom w:val="single" w:sz="8" w:color="auto"/>
            </w:tcBorders>
            <w:gridSpan w:val="4"/>
          </w:tcPr>
          <w:p>
            <w:pPr>
              <w:jc w:val="center"/>
              <w:ind w:left="337"/>
              <w:spacing w:after="0"/>
              <w:rPr>
                <w:sz w:val="20"/>
                <w:szCs w:val="20"/>
                <w:color w:val="auto"/>
              </w:rPr>
            </w:pPr>
            <w:r>
              <w:rPr>
                <w:rFonts w:ascii="Times New Roman" w:cs="Times New Roman" w:eastAsia="Times New Roman" w:hAnsi="Times New Roman"/>
                <w:sz w:val="17"/>
                <w:szCs w:val="17"/>
                <w:b w:val="1"/>
                <w:bCs w:val="1"/>
                <w:color w:val="auto"/>
                <w:w w:val="95"/>
              </w:rPr>
              <w:t>Preferred Stock</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12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7"/>
                <w:szCs w:val="17"/>
                <w:b w:val="1"/>
                <w:bCs w:val="1"/>
                <w:color w:val="auto"/>
                <w:w w:val="96"/>
              </w:rPr>
              <w:t>Number of</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800" w:type="dxa"/>
            <w:vAlign w:val="bottom"/>
          </w:tcPr>
          <w:p>
            <w:pPr>
              <w:jc w:val="center"/>
              <w:ind w:left="237"/>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2023</w:t>
            </w: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176</w:t>
            </w: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w:t>
            </w:r>
          </w:p>
        </w:tc>
        <w:tc>
          <w:tcPr>
            <w:tcW w:w="920" w:type="dxa"/>
            <w:vAlign w:val="bottom"/>
            <w:gridSpan w:val="2"/>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1,723</w:t>
            </w: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176</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GALECTIN THERAPEUTICS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CONVERTIBLE PREFERRED STOCK AND STOCKHOLDERS’ EQUITY</w:t>
      </w:r>
    </w:p>
    <w:tbl>
      <w:tblPr>
        <w:tblLayout w:type="fixed"/>
        <w:tblInd w:w="0" w:type="dxa"/>
        <w:tblCellMar>
          <w:top w:w="0" w:type="dxa"/>
          <w:left w:w="0" w:type="dxa"/>
          <w:bottom w:w="0" w:type="dxa"/>
          <w:right w:w="0" w:type="dxa"/>
        </w:tblCellMar>
      </w:tblPr>
      <w:tr>
        <w:trPr>
          <w:trHeight w:val="181"/>
        </w:trPr>
        <w:tc>
          <w:tcPr>
            <w:tcW w:w="10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(DEFICIT) —</w:t>
            </w:r>
          </w:p>
        </w:tc>
        <w:tc>
          <w:tcPr>
            <w:tcW w:w="2160" w:type="dxa"/>
            <w:vAlign w:val="bottom"/>
            <w:gridSpan w:val="3"/>
          </w:tcPr>
          <w:p>
            <w:pPr>
              <w:jc w:val="right"/>
              <w:ind w:right="1240"/>
              <w:spacing w:after="0" w:line="181" w:lineRule="exact"/>
              <w:rPr>
                <w:sz w:val="20"/>
                <w:szCs w:val="20"/>
                <w:color w:val="auto"/>
              </w:rPr>
            </w:pPr>
            <w:r>
              <w:rPr>
                <w:rFonts w:ascii="Times New Roman" w:cs="Times New Roman" w:eastAsia="Times New Roman" w:hAnsi="Times New Roman"/>
                <w:sz w:val="17"/>
                <w:szCs w:val="17"/>
                <w:b w:val="1"/>
                <w:bCs w:val="1"/>
                <w:color w:val="auto"/>
              </w:rPr>
              <w:t>(Continued)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356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w w:val="97"/>
              </w:rPr>
              <w:t>For the Years Ended December 31, 2024 and 2023</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2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gridSpan w:val="6"/>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Series A 12%</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20" w:type="dxa"/>
            <w:vAlign w:val="bottom"/>
            <w:gridSpan w:val="6"/>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Convertible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20" w:type="dxa"/>
            <w:vAlign w:val="bottom"/>
            <w:gridSpan w:val="6"/>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Preferred Stock</w:t>
            </w:r>
          </w:p>
        </w:tc>
        <w:tc>
          <w:tcPr>
            <w:tcW w:w="2240" w:type="dxa"/>
            <w:vAlign w:val="bottom"/>
            <w:gridSpan w:val="4"/>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Stockholders’</w:t>
            </w: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4"/>
              </w:rPr>
              <w:t>Paid-In</w:t>
            </w:r>
          </w:p>
        </w:tc>
        <w:tc>
          <w:tcPr>
            <w:tcW w:w="16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224"/>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Capital</w:t>
            </w: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(Deficit)</w:t>
            </w:r>
          </w:p>
        </w:tc>
      </w:tr>
      <w:tr>
        <w:trPr>
          <w:trHeight w:val="178"/>
        </w:trPr>
        <w:tc>
          <w:tcPr>
            <w:tcW w:w="20" w:type="dxa"/>
            <w:vAlign w:val="bottom"/>
          </w:tcPr>
          <w:p>
            <w:pPr>
              <w:spacing w:after="0"/>
              <w:rPr>
                <w:sz w:val="15"/>
                <w:szCs w:val="15"/>
                <w:color w:val="auto"/>
              </w:rPr>
            </w:pPr>
          </w:p>
        </w:tc>
        <w:tc>
          <w:tcPr>
            <w:tcW w:w="19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Balance at January 1,</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1,260,000</w:t>
            </w: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510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59,426,005</w:t>
            </w:r>
          </w:p>
        </w:tc>
        <w:tc>
          <w:tcPr>
            <w:tcW w:w="1000" w:type="dxa"/>
            <w:vAlign w:val="bottom"/>
            <w:gridSpan w:val="2"/>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275,081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(309,567)</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(33,917)</w:t>
            </w:r>
          </w:p>
        </w:tc>
      </w:tr>
      <w:tr>
        <w:trPr>
          <w:trHeight w:val="182"/>
        </w:trPr>
        <w:tc>
          <w:tcPr>
            <w:tcW w:w="20" w:type="dxa"/>
            <w:vAlign w:val="bottom"/>
          </w:tcPr>
          <w:p>
            <w:pPr>
              <w:spacing w:after="0"/>
              <w:rPr>
                <w:sz w:val="15"/>
                <w:szCs w:val="15"/>
                <w:color w:val="auto"/>
              </w:rPr>
            </w:pPr>
          </w:p>
        </w:tc>
        <w:tc>
          <w:tcPr>
            <w:tcW w:w="320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auto"/>
              </w:rPr>
              <w:t>Series A 12% convertible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25,200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2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Series C super dividend</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redeemable convertible</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35,200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20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auto"/>
              </w:rPr>
              <w:t>Conversion of Series A</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Convertible Preferred to</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2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from exercise of</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warrants</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10,031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10,033</w:t>
            </w:r>
          </w:p>
        </w:tc>
      </w:tr>
      <w:tr>
        <w:trPr>
          <w:trHeight w:val="182"/>
        </w:trPr>
        <w:tc>
          <w:tcPr>
            <w:tcW w:w="20" w:type="dxa"/>
            <w:vAlign w:val="bottom"/>
          </w:tcPr>
          <w:p>
            <w:pPr>
              <w:spacing w:after="0"/>
              <w:rPr>
                <w:sz w:val="15"/>
                <w:szCs w:val="15"/>
                <w:color w:val="auto"/>
              </w:rPr>
            </w:pPr>
          </w:p>
        </w:tc>
        <w:tc>
          <w:tcPr>
            <w:tcW w:w="320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purchase warrants in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connection with related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2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party line of credit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671</w:t>
            </w: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modification</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3,619</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320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expense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2,315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2,315</w:t>
            </w: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(41,066)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(41,066)</w:t>
            </w:r>
          </w:p>
        </w:tc>
      </w:tr>
      <w:tr>
        <w:trPr>
          <w:trHeight w:val="203"/>
        </w:trPr>
        <w:tc>
          <w:tcPr>
            <w:tcW w:w="32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19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1,235,000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61,852,914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291,847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(354,372)</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(61,964)</w:t>
            </w:r>
          </w:p>
        </w:tc>
      </w:tr>
      <w:tr>
        <w:trPr>
          <w:trHeight w:val="182"/>
        </w:trPr>
        <w:tc>
          <w:tcPr>
            <w:tcW w:w="20" w:type="dxa"/>
            <w:vAlign w:val="bottom"/>
          </w:tcPr>
          <w:p>
            <w:pPr>
              <w:spacing w:after="0"/>
              <w:rPr>
                <w:sz w:val="15"/>
                <w:szCs w:val="15"/>
                <w:color w:val="auto"/>
              </w:rPr>
            </w:pPr>
          </w:p>
        </w:tc>
        <w:tc>
          <w:tcPr>
            <w:tcW w:w="1920" w:type="dxa"/>
            <w:vAlign w:val="bottom"/>
            <w:tcBorders>
              <w:top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7"/>
                <w:szCs w:val="17"/>
                <w:color w:val="auto"/>
              </w:rPr>
              <w:t>Series A 12% convertible</w:t>
            </w: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24,700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2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Series C super dividend</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redeemable convertible</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35,200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20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from exercise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warrants</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427</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428</w:t>
            </w:r>
          </w:p>
        </w:tc>
      </w:tr>
      <w:tr>
        <w:trPr>
          <w:trHeight w:val="182"/>
        </w:trPr>
        <w:tc>
          <w:tcPr>
            <w:tcW w:w="20" w:type="dxa"/>
            <w:vAlign w:val="bottom"/>
          </w:tcPr>
          <w:p>
            <w:pPr>
              <w:spacing w:after="0"/>
              <w:rPr>
                <w:sz w:val="15"/>
                <w:szCs w:val="15"/>
                <w:color w:val="auto"/>
              </w:rPr>
            </w:pPr>
          </w:p>
        </w:tc>
        <w:tc>
          <w:tcPr>
            <w:tcW w:w="32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from exercise of stock</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 net of shares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withheld</w:t>
            </w: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 exercise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799</w:t>
            </w:r>
          </w:p>
        </w:tc>
      </w:tr>
      <w:tr>
        <w:trPr>
          <w:trHeight w:val="182"/>
        </w:trPr>
        <w:tc>
          <w:tcPr>
            <w:tcW w:w="20" w:type="dxa"/>
            <w:vAlign w:val="bottom"/>
          </w:tcPr>
          <w:p>
            <w:pPr>
              <w:spacing w:after="0"/>
              <w:rPr>
                <w:sz w:val="15"/>
                <w:szCs w:val="15"/>
                <w:color w:val="auto"/>
              </w:rPr>
            </w:pPr>
          </w:p>
        </w:tc>
        <w:tc>
          <w:tcPr>
            <w:tcW w:w="320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from restricted stock</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units</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2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warrants in</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connection with related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party line of credit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845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845</w:t>
            </w:r>
          </w:p>
        </w:tc>
      </w:tr>
      <w:tr>
        <w:trPr>
          <w:trHeight w:val="182"/>
        </w:trPr>
        <w:tc>
          <w:tcPr>
            <w:tcW w:w="20" w:type="dxa"/>
            <w:vAlign w:val="bottom"/>
          </w:tcPr>
          <w:p>
            <w:pPr>
              <w:spacing w:after="0"/>
              <w:rPr>
                <w:sz w:val="15"/>
                <w:szCs w:val="15"/>
                <w:color w:val="auto"/>
              </w:rPr>
            </w:pPr>
          </w:p>
        </w:tc>
        <w:tc>
          <w:tcPr>
            <w:tcW w:w="320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expense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2,146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2,146</w:t>
            </w:r>
          </w:p>
        </w:tc>
      </w:tr>
      <w:tr>
        <w:trPr>
          <w:trHeight w:val="198"/>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(47,047)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(47,047)</w:t>
            </w:r>
          </w:p>
        </w:tc>
      </w:tr>
      <w:tr>
        <w:trPr>
          <w:trHeight w:val="203"/>
        </w:trPr>
        <w:tc>
          <w:tcPr>
            <w:tcW w:w="32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19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1,235,000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63,157,235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296,217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(401,572)</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(104,793)</w:t>
            </w: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1240"/>
          </w:cols>
          <w:pgMar w:left="320" w:top="115"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75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0000EE"/>
                <w:w w:val="96"/>
              </w:rPr>
              <w:t>Index</w:t>
            </w:r>
          </w:p>
        </w:tc>
        <w:tc>
          <w:tcPr>
            <w:tcW w:w="8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2"/>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88"/>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4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(in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75"/>
              </w:rPr>
              <w:t>thousands)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6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(47,047)</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(41,066)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loss to net cash from operating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right to use asset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derivatives</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on convertible notes payable and convertible line of credit – related party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from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(32,965)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from investing activities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proceeds from convertible line of credit – related party</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30,000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Net proceeds from exercise of common stock options and warrants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from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(10,540)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15,120</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25,660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NONCASH FINANCING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Payment of preferred stock dividends in common stock</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spacing w:after="0"/>
              <w:rPr>
                <w:sz w:val="17"/>
                <w:szCs w:val="17"/>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Reclassification of accrued bonus to additional paid in capital</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Common stock purchase warrants issued in connection with related party line of credit</w:t>
            </w:r>
          </w:p>
        </w:tc>
        <w:tc>
          <w:tcPr>
            <w:tcW w:w="240" w:type="dxa"/>
            <w:vAlign w:val="bottom"/>
          </w:tcPr>
          <w:p>
            <w:pPr>
              <w:spacing w:after="0"/>
              <w:rPr>
                <w:sz w:val="18"/>
                <w:szCs w:val="18"/>
                <w:color w:val="auto"/>
              </w:rPr>
            </w:pPr>
          </w:p>
        </w:tc>
        <w:tc>
          <w:tcPr>
            <w:tcW w:w="10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845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671</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GALECTIN THERAPEUTICS INC. AND SUBSIDIARIES</w:t>
      </w:r>
    </w:p>
    <w:p>
      <w:pPr>
        <w:spacing w:after="0" w:line="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1" w:lineRule="exact"/>
        <w:rPr>
          <w:sz w:val="20"/>
          <w:szCs w:val="20"/>
          <w:color w:val="auto"/>
        </w:rPr>
      </w:pPr>
    </w:p>
    <w:p>
      <w:pPr>
        <w:ind w:left="441" w:hanging="441"/>
        <w:spacing w:after="0"/>
        <w:tabs>
          <w:tab w:leader="none" w:pos="441"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Business, Basis of Presentation, Liquidity, and Going Concern</w:t>
      </w:r>
    </w:p>
    <w:p>
      <w:pPr>
        <w:spacing w:after="0" w:line="205" w:lineRule="exact"/>
        <w:rPr>
          <w:sz w:val="20"/>
          <w:szCs w:val="20"/>
          <w:color w:val="auto"/>
        </w:rPr>
      </w:pPr>
    </w:p>
    <w:p>
      <w:pPr>
        <w:ind w:left="401" w:right="20"/>
        <w:spacing w:after="0" w:line="305" w:lineRule="auto"/>
        <w:rPr>
          <w:sz w:val="20"/>
          <w:szCs w:val="20"/>
          <w:color w:val="auto"/>
        </w:rPr>
      </w:pPr>
      <w:r>
        <w:rPr>
          <w:rFonts w:ascii="Times New Roman" w:cs="Times New Roman" w:eastAsia="Times New Roman" w:hAnsi="Times New Roman"/>
          <w:sz w:val="15"/>
          <w:szCs w:val="15"/>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36" w:lineRule="exact"/>
        <w:rPr>
          <w:sz w:val="20"/>
          <w:szCs w:val="20"/>
          <w:color w:val="auto"/>
        </w:rPr>
      </w:pPr>
    </w:p>
    <w:p>
      <w:pPr>
        <w:ind w:left="401" w:right="260"/>
        <w:spacing w:after="0" w:line="267" w:lineRule="auto"/>
        <w:rPr>
          <w:sz w:val="20"/>
          <w:szCs w:val="20"/>
          <w:color w:val="auto"/>
        </w:rPr>
      </w:pPr>
      <w:r>
        <w:rPr>
          <w:rFonts w:ascii="Times New Roman" w:cs="Times New Roman" w:eastAsia="Times New Roman" w:hAnsi="Times New Roman"/>
          <w:sz w:val="17"/>
          <w:szCs w:val="17"/>
          <w:color w:val="auto"/>
        </w:rPr>
        <w:t>The Company was founded in July 2000, was incorporated in the State of Nevada in January 2001 under the name “Pro-Pharmaceuticals, Inc.,” and changed its name to “Galectin Therapeutics Inc.” on May 26, 2011.</w:t>
      </w:r>
    </w:p>
    <w:p>
      <w:pPr>
        <w:spacing w:after="0" w:line="160" w:lineRule="exact"/>
        <w:rPr>
          <w:sz w:val="20"/>
          <w:szCs w:val="20"/>
          <w:color w:val="auto"/>
        </w:rPr>
      </w:pPr>
    </w:p>
    <w:p>
      <w:pPr>
        <w:ind w:left="401" w:right="140"/>
        <w:spacing w:after="0" w:line="246" w:lineRule="auto"/>
        <w:rPr>
          <w:sz w:val="20"/>
          <w:szCs w:val="20"/>
          <w:color w:val="auto"/>
        </w:rPr>
      </w:pPr>
      <w:r>
        <w:rPr>
          <w:rFonts w:ascii="Times New Roman" w:cs="Times New Roman" w:eastAsia="Times New Roman" w:hAnsi="Times New Roman"/>
          <w:sz w:val="17"/>
          <w:szCs w:val="17"/>
          <w:color w:val="auto"/>
        </w:rPr>
        <w:t>The Company has operated at a loss since its inception and has had no revenues. The Company anticipates that losses will continue for the foreseeable future. At December 31, 2024, the company had $15,120,000 of unrestricted cash and cash equivalents available to fund future operations. As of December 31, 2024, the Company has available borrowings under a line of credit in the amount of $6 million provided by our chairman, Richard Uihlein, (See Notes 10). Additionally, in March 2025, we signed a new supplemental line of credit agreement with our chairman for an additional $5 million of available borrowings (See Note 16). The Company believes there is sufficient cash, including availability of the two lines of credit, to fund currently planned operations through August 2025.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w:t>
      </w:r>
    </w:p>
    <w:p>
      <w:pPr>
        <w:spacing w:after="0" w:line="181" w:lineRule="exact"/>
        <w:rPr>
          <w:sz w:val="20"/>
          <w:szCs w:val="20"/>
          <w:color w:val="auto"/>
        </w:rPr>
      </w:pPr>
    </w:p>
    <w:p>
      <w:pPr>
        <w:ind w:left="401"/>
        <w:spacing w:after="0" w:line="247" w:lineRule="auto"/>
        <w:rPr>
          <w:sz w:val="20"/>
          <w:szCs w:val="20"/>
          <w:color w:val="auto"/>
        </w:rPr>
      </w:pPr>
      <w:r>
        <w:rPr>
          <w:rFonts w:ascii="Times New Roman" w:cs="Times New Roman" w:eastAsia="Times New Roman" w:hAnsi="Times New Roman"/>
          <w:sz w:val="17"/>
          <w:szCs w:val="17"/>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75" w:lineRule="exact"/>
        <w:rPr>
          <w:sz w:val="20"/>
          <w:szCs w:val="20"/>
          <w:color w:val="auto"/>
        </w:rPr>
      </w:pPr>
    </w:p>
    <w:p>
      <w:pPr>
        <w:ind w:left="441" w:hanging="441"/>
        <w:spacing w:after="0"/>
        <w:tabs>
          <w:tab w:leader="none" w:pos="441"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05" w:lineRule="exact"/>
        <w:rPr>
          <w:sz w:val="20"/>
          <w:szCs w:val="20"/>
          <w:color w:val="auto"/>
        </w:rPr>
      </w:pPr>
    </w:p>
    <w:p>
      <w:pPr>
        <w:ind w:left="401" w:right="660"/>
        <w:spacing w:after="0" w:line="26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accounting principles generally accepted in the United States (“GAAP”).</w:t>
      </w:r>
    </w:p>
    <w:p>
      <w:pPr>
        <w:spacing w:after="0" w:line="158" w:lineRule="exact"/>
        <w:rPr>
          <w:sz w:val="20"/>
          <w:szCs w:val="20"/>
          <w:color w:val="auto"/>
        </w:rPr>
      </w:pPr>
    </w:p>
    <w:p>
      <w:pPr>
        <w:ind w:left="401" w:right="24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Basis of Consolidation. </w:t>
      </w:r>
      <w:r>
        <w:rPr>
          <w:rFonts w:ascii="Times New Roman" w:cs="Times New Roman" w:eastAsia="Times New Roman" w:hAnsi="Times New Roman"/>
          <w:sz w:val="17"/>
          <w:szCs w:val="17"/>
          <w:color w:val="auto"/>
        </w:rPr>
        <w:t>The consolidated financial statements include the accounts of the Company and Galectin Therapeutics Security Corp., its wholly-owned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subsidiary, which was incorporated in Delaware on December 23, 2003 and Galectin Sciences LLC (see Note 13). All intercompany transactions have been eliminated.</w:t>
      </w:r>
    </w:p>
    <w:p>
      <w:pPr>
        <w:spacing w:after="0" w:line="166" w:lineRule="exact"/>
        <w:rPr>
          <w:sz w:val="20"/>
          <w:szCs w:val="20"/>
          <w:color w:val="auto"/>
        </w:rPr>
      </w:pPr>
    </w:p>
    <w:p>
      <w:pPr>
        <w:ind w:left="401" w:right="200"/>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to make estimates and judgments that may affect the reported amounts of assets, liabilities, equity, revenue, expenses and related disclosure of contingent assets and liabilities. Management’s estimates and judgments include assumptions used in stock option valuations, accrued liabilities, derivative valuations, deferred income taxes and various other assumptions that are believed to be reasonable under the circumstances. Actual results may differ from those estimates under different assumptions or conditions.</w:t>
      </w:r>
    </w:p>
    <w:p>
      <w:pPr>
        <w:spacing w:after="0" w:line="173" w:lineRule="exact"/>
        <w:rPr>
          <w:sz w:val="20"/>
          <w:szCs w:val="20"/>
          <w:color w:val="auto"/>
        </w:rPr>
      </w:pPr>
    </w:p>
    <w:p>
      <w:pPr>
        <w:ind w:left="401" w:right="80"/>
        <w:spacing w:after="0" w:line="249" w:lineRule="auto"/>
        <w:rPr>
          <w:sz w:val="20"/>
          <w:szCs w:val="20"/>
          <w:color w:val="auto"/>
        </w:rPr>
      </w:pP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The Company has certain financial assets and liabilities recorded at fair value. Fair values determined by Level 1 inputs utilize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See Footnote 6 for Fair Value of Derivatives related to Convertible Notes Payable at December 31, 2024 and 2023, which are level 3 liabilities.</w:t>
      </w:r>
    </w:p>
    <w:p>
      <w:pPr>
        <w:spacing w:after="0" w:line="172" w:lineRule="exact"/>
        <w:rPr>
          <w:sz w:val="20"/>
          <w:szCs w:val="20"/>
          <w:color w:val="auto"/>
        </w:rPr>
      </w:pPr>
    </w:p>
    <w:p>
      <w:pPr>
        <w:ind w:left="401" w:right="20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The Company considers all highly-liquid investments with original maturities of 90 days or less at the time of acquisition to be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equivalents. The Company had no cash equivalents at December 31, 2024 or 2023.</w:t>
      </w:r>
    </w:p>
    <w:p>
      <w:pPr>
        <w:spacing w:after="0" w:line="156" w:lineRule="exact"/>
        <w:rPr>
          <w:sz w:val="20"/>
          <w:szCs w:val="20"/>
          <w:color w:val="auto"/>
        </w:rPr>
      </w:pPr>
    </w:p>
    <w:p>
      <w:pPr>
        <w:ind w:left="401" w:right="2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Prepaid Expenses and Other Current Assets. </w:t>
      </w:r>
      <w:r>
        <w:rPr>
          <w:rFonts w:ascii="Times New Roman" w:cs="Times New Roman" w:eastAsia="Times New Roman" w:hAnsi="Times New Roman"/>
          <w:sz w:val="17"/>
          <w:szCs w:val="17"/>
          <w:color w:val="auto"/>
        </w:rPr>
        <w:t>Prepaid expenses and other assets consist principally of prepaid insurance, deposits related to the NAVIGATE trial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deferred financing costs (see Note 10).</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4" w:lineRule="exact"/>
        <w:rPr>
          <w:sz w:val="20"/>
          <w:szCs w:val="20"/>
          <w:color w:val="auto"/>
        </w:rPr>
      </w:pPr>
    </w:p>
    <w:p>
      <w:pPr>
        <w:ind w:left="400" w:right="8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Property and Equipment. </w:t>
      </w:r>
      <w:r>
        <w:rPr>
          <w:rFonts w:ascii="Times New Roman" w:cs="Times New Roman" w:eastAsia="Times New Roman" w:hAnsi="Times New Roman"/>
          <w:sz w:val="17"/>
          <w:szCs w:val="17"/>
          <w:color w:val="auto"/>
        </w:rPr>
        <w:t>Property and equipment, including leasehold improvements, are stated at cost, net of accumulated depreciation and amortization, and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166" w:lineRule="exact"/>
        <w:rPr>
          <w:sz w:val="20"/>
          <w:szCs w:val="20"/>
          <w:color w:val="auto"/>
        </w:rPr>
      </w:pPr>
    </w:p>
    <w:p>
      <w:pPr>
        <w:ind w:left="400" w:right="1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Security Deposit. </w:t>
      </w:r>
      <w:r>
        <w:rPr>
          <w:rFonts w:ascii="Times New Roman" w:cs="Times New Roman" w:eastAsia="Times New Roman" w:hAnsi="Times New Roman"/>
          <w:sz w:val="17"/>
          <w:szCs w:val="17"/>
          <w:color w:val="auto"/>
        </w:rPr>
        <w:t>At December 31, 2024 and 2023, the Company had a security deposit of $6,000 for leased office space included in Prepaid Expenses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Current Assets.</w:t>
      </w:r>
    </w:p>
    <w:p>
      <w:pPr>
        <w:spacing w:after="0" w:line="156" w:lineRule="exact"/>
        <w:rPr>
          <w:sz w:val="20"/>
          <w:szCs w:val="20"/>
          <w:color w:val="auto"/>
        </w:rPr>
      </w:pPr>
    </w:p>
    <w:p>
      <w:pPr>
        <w:ind w:left="400" w:right="20"/>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Long-Lived Assets. </w:t>
      </w:r>
      <w:r>
        <w:rPr>
          <w:rFonts w:ascii="Times New Roman" w:cs="Times New Roman" w:eastAsia="Times New Roman" w:hAnsi="Times New Roman"/>
          <w:sz w:val="17"/>
          <w:szCs w:val="17"/>
          <w:color w:val="auto"/>
        </w:rPr>
        <w:t>The Company reviews all long-lived assets for impairment whenever events or circumstances indicate the carrying amount of such assets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 There were no impairments of long-lived assets at December 31, 2024 or 2023.</w:t>
      </w:r>
    </w:p>
    <w:p>
      <w:pPr>
        <w:spacing w:after="0" w:line="173" w:lineRule="exact"/>
        <w:rPr>
          <w:sz w:val="20"/>
          <w:szCs w:val="20"/>
          <w:color w:val="auto"/>
        </w:rPr>
      </w:pPr>
    </w:p>
    <w:p>
      <w:pPr>
        <w:ind w:left="400" w:right="20"/>
        <w:spacing w:after="0" w:line="246" w:lineRule="auto"/>
        <w:rPr>
          <w:sz w:val="20"/>
          <w:szCs w:val="20"/>
          <w:color w:val="auto"/>
        </w:rPr>
      </w:pPr>
      <w:r>
        <w:rPr>
          <w:rFonts w:ascii="Times New Roman" w:cs="Times New Roman" w:eastAsia="Times New Roman" w:hAnsi="Times New Roman"/>
          <w:sz w:val="17"/>
          <w:szCs w:val="17"/>
          <w:i w:val="1"/>
          <w:iCs w:val="1"/>
          <w:color w:val="auto"/>
        </w:rPr>
        <w:t>Accrued Expenses</w:t>
      </w:r>
      <w:r>
        <w:rPr>
          <w:rFonts w:ascii="Times New Roman" w:cs="Times New Roman" w:eastAsia="Times New Roman" w:hAnsi="Times New Roman"/>
          <w:sz w:val="17"/>
          <w:szCs w:val="17"/>
          <w:color w:val="auto"/>
        </w:rPr>
        <w:t>. As part of the process of preparing our consolidated financial statements, we are required to estimate accrued expenses. This process involves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81" w:lineRule="exact"/>
        <w:rPr>
          <w:sz w:val="20"/>
          <w:szCs w:val="20"/>
          <w:color w:val="auto"/>
        </w:rPr>
      </w:pPr>
    </w:p>
    <w:p>
      <w:pPr>
        <w:jc w:val="both"/>
        <w:ind w:left="400" w:right="26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Warrants. </w:t>
      </w:r>
      <w:r>
        <w:rPr>
          <w:rFonts w:ascii="Times New Roman" w:cs="Times New Roman" w:eastAsia="Times New Roman" w:hAnsi="Times New Roman"/>
          <w:sz w:val="17"/>
          <w:szCs w:val="17"/>
          <w:color w:val="auto"/>
        </w:rPr>
        <w:t>The Company has issued common stock warrants in connection with the execution of certain equity and debt financings. The fair value of warrants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using the Black-Scholes option-pricing model using assumptions regarding volatility of our common share price, remaining life of the warrant, and risk-free interest rates at each period end. There were no warrant liabilities as of December 31, 2024 or 2023.</w:t>
      </w:r>
    </w:p>
    <w:p>
      <w:pPr>
        <w:spacing w:after="0" w:line="166" w:lineRule="exact"/>
        <w:rPr>
          <w:sz w:val="20"/>
          <w:szCs w:val="20"/>
          <w:color w:val="auto"/>
        </w:rPr>
      </w:pPr>
    </w:p>
    <w:p>
      <w:pPr>
        <w:ind w:left="400" w:right="60"/>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including personnel costs, allocated facility costs, lab supplies, outside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75" w:lineRule="exact"/>
        <w:rPr>
          <w:sz w:val="20"/>
          <w:szCs w:val="20"/>
          <w:color w:val="auto"/>
        </w:rPr>
      </w:pPr>
    </w:p>
    <w:p>
      <w:pPr>
        <w:ind w:left="400" w:right="40"/>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The Company accounts for income taxes in accordance with the accounting rules that requires an asset and liability approach to accounting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173" w:lineRule="exact"/>
        <w:rPr>
          <w:sz w:val="20"/>
          <w:szCs w:val="20"/>
          <w:color w:val="auto"/>
        </w:rPr>
      </w:pPr>
    </w:p>
    <w:p>
      <w:pPr>
        <w:ind w:left="400" w:right="6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Concentration of Credit Risk. </w:t>
      </w:r>
      <w:r>
        <w:rPr>
          <w:rFonts w:ascii="Times New Roman" w:cs="Times New Roman" w:eastAsia="Times New Roman" w:hAnsi="Times New Roman"/>
          <w:sz w:val="17"/>
          <w:szCs w:val="17"/>
          <w:color w:val="auto"/>
        </w:rPr>
        <w:t>Financial instruments that subject the Company to credit risk consist of cash and cash equivalents. The Company maintains cash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equivalents and certificates of deposit with well-capitalized financial institutions. At times, those amounts may exceed federally insured limits. The Company has not experienced any losses in such accounts and believes it is not exposed to significant credit risk beyond the normal credit risk associated with commercial banking relationships. The Company has no other significant concentrations of credit risk.</w:t>
      </w:r>
    </w:p>
    <w:p>
      <w:pPr>
        <w:spacing w:after="0" w:line="171" w:lineRule="exact"/>
        <w:rPr>
          <w:sz w:val="20"/>
          <w:szCs w:val="20"/>
          <w:color w:val="auto"/>
        </w:rPr>
      </w:pPr>
    </w:p>
    <w:p>
      <w:pPr>
        <w:ind w:left="40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Stock-Based Compensation. </w:t>
      </w:r>
      <w:r>
        <w:rPr>
          <w:rFonts w:ascii="Times New Roman" w:cs="Times New Roman" w:eastAsia="Times New Roman" w:hAnsi="Times New Roman"/>
          <w:sz w:val="17"/>
          <w:szCs w:val="17"/>
          <w:color w:val="auto"/>
        </w:rPr>
        <w:t>Stock-based compensation cost is measured at the grant date based on the fair value of the award and is recognized as expense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03" w:lineRule="exact"/>
        <w:rPr>
          <w:sz w:val="20"/>
          <w:szCs w:val="20"/>
          <w:color w:val="auto"/>
        </w:rPr>
      </w:pPr>
    </w:p>
    <w:p>
      <w:pPr>
        <w:ind w:left="400" w:right="120"/>
        <w:spacing w:after="0" w:line="291" w:lineRule="auto"/>
        <w:rPr>
          <w:sz w:val="20"/>
          <w:szCs w:val="20"/>
          <w:color w:val="auto"/>
        </w:rPr>
      </w:pPr>
      <w:r>
        <w:rPr>
          <w:rFonts w:ascii="Times New Roman" w:cs="Times New Roman" w:eastAsia="Times New Roman" w:hAnsi="Times New Roman"/>
          <w:sz w:val="15"/>
          <w:szCs w:val="15"/>
          <w:color w:val="auto"/>
        </w:rPr>
        <w:t xml:space="preserve">In November 2023, the FASB issued ASU 2023-07, </w:t>
      </w:r>
      <w:r>
        <w:rPr>
          <w:rFonts w:ascii="Times New Roman" w:cs="Times New Roman" w:eastAsia="Times New Roman" w:hAnsi="Times New Roman"/>
          <w:sz w:val="15"/>
          <w:szCs w:val="15"/>
          <w:i w:val="1"/>
          <w:iCs w:val="1"/>
          <w:color w:val="auto"/>
        </w:rPr>
        <w:t>Segment Reporting (Topic 280): Improvements to Reportable Segment Disclosures</w:t>
      </w:r>
      <w:r>
        <w:rPr>
          <w:rFonts w:ascii="Times New Roman" w:cs="Times New Roman" w:eastAsia="Times New Roman" w:hAnsi="Times New Roman"/>
          <w:sz w:val="15"/>
          <w:szCs w:val="15"/>
          <w:color w:val="auto"/>
        </w:rPr>
        <w:t>. This guidance is intended to improve reportable segment disclosure requirements through enhanced disclosures as well as clarify that entities with a single reportable segment are subject to new and existing segment reporting requirements. This guidance is effective for annual periods in fiscal years beginning after December 15, 2023, and interim periods within fiscal years beginning after December 15, 2024, with early adoption permitted. Entities must apply this guidance on a retrospective basis. Accordingly, the Company adopted this new standard for the fiscal year ended December 31, 2024. See footnote 15 for segment disclosures.</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 Yet to be Adopted</w:t>
      </w:r>
    </w:p>
    <w:p>
      <w:pPr>
        <w:spacing w:after="0" w:line="203" w:lineRule="exact"/>
        <w:rPr>
          <w:sz w:val="20"/>
          <w:szCs w:val="20"/>
          <w:color w:val="auto"/>
        </w:rPr>
      </w:pPr>
    </w:p>
    <w:p>
      <w:pPr>
        <w:ind w:left="400" w:right="20"/>
        <w:spacing w:after="0" w:line="250"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amendments in ASU 2023-09 address investor requests for enhanced income tax information primarily through changes to disclosure regarding rate reconciliation and income taxes paid both in the United States and in foreign jurisdictions. This guidance is effective for fiscal years beginning after December 15, 2024 on a prospective basis, with the option to apply the standard retrospectively, and early adoption is permitted. The Company is currently evaluating this guidance to determine the impact it may have on its consolidated financial statements.</w:t>
      </w:r>
    </w:p>
    <w:p>
      <w:pPr>
        <w:spacing w:after="0" w:line="173" w:lineRule="exact"/>
        <w:rPr>
          <w:sz w:val="20"/>
          <w:szCs w:val="20"/>
          <w:color w:val="auto"/>
        </w:rPr>
      </w:pPr>
    </w:p>
    <w:p>
      <w:pPr>
        <w:ind w:left="400" w:right="40"/>
        <w:spacing w:after="0" w:line="291"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2024-03, </w:t>
      </w:r>
      <w:r>
        <w:rPr>
          <w:rFonts w:ascii="Times New Roman" w:cs="Times New Roman" w:eastAsia="Times New Roman" w:hAnsi="Times New Roman"/>
          <w:sz w:val="15"/>
          <w:szCs w:val="15"/>
          <w:i w:val="1"/>
          <w:iCs w:val="1"/>
          <w:color w:val="auto"/>
        </w:rPr>
        <w:t>Income Statement—Reporting Comprehensive Income—Expense Disaggregation Disclosures (Subtopic 220-40): Disaggregation of Income Statement Expenses</w:t>
      </w:r>
      <w:r>
        <w:rPr>
          <w:rFonts w:ascii="Times New Roman" w:cs="Times New Roman" w:eastAsia="Times New Roman" w:hAnsi="Times New Roman"/>
          <w:sz w:val="15"/>
          <w:szCs w:val="15"/>
          <w:color w:val="auto"/>
        </w:rPr>
        <w:t>. The amendments in ASU 2024-03 address investor requests for more detailed expense information and require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The Company is currently evaluating this guidance to determine the impact it may have on its consolidated financial statements.</w:t>
      </w:r>
    </w:p>
    <w:p>
      <w:pPr>
        <w:spacing w:after="0" w:line="145" w:lineRule="exact"/>
        <w:rPr>
          <w:sz w:val="20"/>
          <w:szCs w:val="20"/>
          <w:color w:val="auto"/>
        </w:rPr>
      </w:pPr>
    </w:p>
    <w:p>
      <w:pPr>
        <w:ind w:left="400" w:right="120"/>
        <w:spacing w:after="0" w:line="307" w:lineRule="auto"/>
        <w:rPr>
          <w:sz w:val="20"/>
          <w:szCs w:val="20"/>
          <w:color w:val="auto"/>
        </w:rPr>
      </w:pPr>
      <w:r>
        <w:rPr>
          <w:rFonts w:ascii="Times New Roman" w:cs="Times New Roman" w:eastAsia="Times New Roman" w:hAnsi="Times New Roman"/>
          <w:sz w:val="15"/>
          <w:szCs w:val="15"/>
          <w:color w:val="auto"/>
        </w:rPr>
        <w:t xml:space="preserve">In November 2024, the FASB, issued ASUS 2024-04, </w:t>
      </w:r>
      <w:r>
        <w:rPr>
          <w:rFonts w:ascii="Times New Roman" w:cs="Times New Roman" w:eastAsia="Times New Roman" w:hAnsi="Times New Roman"/>
          <w:sz w:val="15"/>
          <w:szCs w:val="15"/>
          <w:i w:val="1"/>
          <w:iCs w:val="1"/>
          <w:color w:val="auto"/>
        </w:rPr>
        <w:t>Debt- Debt with Conversions and Other Option.</w:t>
      </w:r>
      <w:r>
        <w:rPr>
          <w:rFonts w:ascii="Times New Roman" w:cs="Times New Roman" w:eastAsia="Times New Roman" w:hAnsi="Times New Roman"/>
          <w:sz w:val="15"/>
          <w:szCs w:val="15"/>
          <w:color w:val="auto"/>
        </w:rPr>
        <w:t xml:space="preserve"> ASU 2024-04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This ASU is effective for all entities for annual reporting periods</w:t>
      </w:r>
    </w:p>
    <w:p>
      <w:pPr>
        <w:sectPr>
          <w:pgSz w:w="11900" w:h="16838" w:orient="portrait"/>
          <w:cols w:equalWidth="0" w:num="1">
            <w:col w:w="11240"/>
          </w:cols>
          <w:pgMar w:left="320" w:top="115" w:right="339" w:bottom="0" w:gutter="0" w:footer="0" w:header="0"/>
        </w:sectPr>
      </w:pPr>
    </w:p>
    <w:bookmarkStart w:id="64" w:name="page65"/>
    <w:bookmarkEnd w:id="64"/>
    <w:p>
      <w:pPr>
        <w:spacing w:after="0" w:line="267" w:lineRule="auto"/>
        <w:rPr>
          <w:sz w:val="20"/>
          <w:szCs w:val="20"/>
          <w:color w:val="auto"/>
        </w:rPr>
      </w:pPr>
      <w:r>
        <w:rPr>
          <w:rFonts w:ascii="Times New Roman" w:cs="Times New Roman" w:eastAsia="Times New Roman" w:hAnsi="Times New Roman"/>
          <w:sz w:val="17"/>
          <w:szCs w:val="17"/>
          <w:color w:val="auto"/>
        </w:rPr>
        <w:t>beginning after December 15, 2025, and interim reporting periods within those annual reporting periods, with early adoption permitted. The Company is currently evaluating the potential impact of this guidance on its disclosures.</w:t>
      </w:r>
    </w:p>
    <w:p>
      <w:pPr>
        <w:spacing w:after="0" w:line="200" w:lineRule="exact"/>
        <w:rPr>
          <w:sz w:val="20"/>
          <w:szCs w:val="20"/>
          <w:color w:val="auto"/>
        </w:rPr>
      </w:pPr>
    </w:p>
    <w:p>
      <w:pPr>
        <w:spacing w:after="0" w:line="3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36195</wp:posOffset>
            </wp:positionV>
            <wp:extent cx="714375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740"/>
          </w:cols>
          <w:pgMar w:left="720" w:top="123" w:right="439" w:bottom="1440" w:gutter="0" w:footer="0" w:header="0"/>
        </w:sectPr>
      </w:pPr>
    </w:p>
    <w:bookmarkStart w:id="65" w:name="page66"/>
    <w:bookmarkEnd w:id="65"/>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441" w:hanging="441"/>
        <w:spacing w:after="0"/>
        <w:tabs>
          <w:tab w:leader="none" w:pos="441"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Property and equipment consist of the following at December 31:</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1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(in</w:t>
            </w:r>
          </w:p>
        </w:tc>
        <w:tc>
          <w:tcPr>
            <w:tcW w:w="1280" w:type="dxa"/>
            <w:vAlign w:val="bottom"/>
            <w:gridSpan w:val="4"/>
          </w:tcPr>
          <w:p>
            <w:pPr>
              <w:jc w:val="right"/>
              <w:ind w:right="597"/>
              <w:spacing w:after="0"/>
              <w:rPr>
                <w:sz w:val="20"/>
                <w:szCs w:val="20"/>
                <w:color w:val="auto"/>
              </w:rPr>
            </w:pPr>
            <w:r>
              <w:rPr>
                <w:rFonts w:ascii="Times New Roman" w:cs="Times New Roman" w:eastAsia="Times New Roman" w:hAnsi="Times New Roman"/>
                <w:sz w:val="17"/>
                <w:szCs w:val="17"/>
                <w:b w:val="1"/>
                <w:bCs w:val="1"/>
                <w:color w:val="auto"/>
                <w:w w:val="73"/>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Computer and office equipment</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7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 net</w:t>
            </w: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expense for the years ended December 31, 2024 and 2023 was $0 and $0, respectively.</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60" w:type="dxa"/>
            <w:vAlign w:val="bottom"/>
          </w:tcPr>
          <w:p>
            <w:pPr>
              <w:spacing w:after="0"/>
              <w:rPr>
                <w:sz w:val="24"/>
                <w:szCs w:val="24"/>
                <w:color w:val="auto"/>
              </w:rPr>
            </w:pPr>
          </w:p>
        </w:tc>
        <w:tc>
          <w:tcPr>
            <w:tcW w:w="85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6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8"/>
              </w:rPr>
              <w:t>4.</w:t>
            </w:r>
          </w:p>
        </w:tc>
        <w:tc>
          <w:tcPr>
            <w:tcW w:w="18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Accrued Expenses</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60" w:type="dxa"/>
            <w:vAlign w:val="bottom"/>
          </w:tcPr>
          <w:p>
            <w:pPr>
              <w:spacing w:after="0"/>
              <w:rPr>
                <w:sz w:val="24"/>
                <w:szCs w:val="24"/>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expenses consist of the following at December 31:</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1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(in</w:t>
            </w:r>
          </w:p>
        </w:tc>
        <w:tc>
          <w:tcPr>
            <w:tcW w:w="1280" w:type="dxa"/>
            <w:vAlign w:val="bottom"/>
            <w:gridSpan w:val="4"/>
          </w:tcPr>
          <w:p>
            <w:pPr>
              <w:jc w:val="right"/>
              <w:ind w:right="597"/>
              <w:spacing w:after="0"/>
              <w:rPr>
                <w:sz w:val="20"/>
                <w:szCs w:val="20"/>
                <w:color w:val="auto"/>
              </w:rPr>
            </w:pPr>
            <w:r>
              <w:rPr>
                <w:rFonts w:ascii="Times New Roman" w:cs="Times New Roman" w:eastAsia="Times New Roman" w:hAnsi="Times New Roman"/>
                <w:sz w:val="17"/>
                <w:szCs w:val="17"/>
                <w:b w:val="1"/>
                <w:bCs w:val="1"/>
                <w:color w:val="auto"/>
                <w:w w:val="73"/>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and accounting fees</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Accrued compensation</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1,523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1,129</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Accrued research and development costs and other</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6,588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7,967</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72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8,204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41" w:hanging="441"/>
        <w:spacing w:after="0"/>
        <w:tabs>
          <w:tab w:leader="none" w:pos="441"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Notes Payable – Related Party</w:t>
      </w:r>
    </w:p>
    <w:p>
      <w:pPr>
        <w:spacing w:after="0" w:line="205" w:lineRule="exact"/>
        <w:rPr>
          <w:sz w:val="20"/>
          <w:szCs w:val="20"/>
          <w:color w:val="auto"/>
        </w:rPr>
      </w:pPr>
    </w:p>
    <w:p>
      <w:pPr>
        <w:ind w:left="381" w:right="480"/>
        <w:spacing w:after="0" w:line="335" w:lineRule="auto"/>
        <w:rPr>
          <w:sz w:val="20"/>
          <w:szCs w:val="20"/>
          <w:color w:val="auto"/>
        </w:rPr>
      </w:pPr>
      <w:r>
        <w:rPr>
          <w:rFonts w:ascii="Times New Roman" w:cs="Times New Roman" w:eastAsia="Times New Roman" w:hAnsi="Times New Roman"/>
          <w:sz w:val="15"/>
          <w:szCs w:val="15"/>
          <w:color w:val="auto"/>
        </w:rPr>
        <w:t>On April 16, 2021, the Company and Richard E. Uihlein entered into a debt financing arrangement whereby Mr. Uihlein loaned $10,000,000 to Company. In consideration for the loan, the Company issued a convertible promissory note (the “April 2021 Note”) in the principal amount of ten million dollars.</w:t>
      </w:r>
    </w:p>
    <w:p>
      <w:pPr>
        <w:spacing w:after="0" w:line="114" w:lineRule="exact"/>
        <w:rPr>
          <w:sz w:val="20"/>
          <w:szCs w:val="20"/>
          <w:color w:val="auto"/>
        </w:rPr>
      </w:pPr>
    </w:p>
    <w:p>
      <w:pPr>
        <w:ind w:left="381" w:right="280"/>
        <w:spacing w:after="0" w:line="251" w:lineRule="auto"/>
        <w:rPr>
          <w:sz w:val="20"/>
          <w:szCs w:val="20"/>
          <w:color w:val="auto"/>
        </w:rPr>
      </w:pPr>
      <w:r>
        <w:rPr>
          <w:rFonts w:ascii="Times New Roman" w:cs="Times New Roman" w:eastAsia="Times New Roman" w:hAnsi="Times New Roman"/>
          <w:sz w:val="17"/>
          <w:szCs w:val="17"/>
          <w:color w:val="auto"/>
        </w:rPr>
        <w:t>The April 2021 Note has a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years ended December 31, 2024 and 2023, approximately $212,000 and $207,000, respectively, of interest expense was accrued and included with the principal in the financial statements.</w:t>
      </w:r>
    </w:p>
    <w:p>
      <w:pPr>
        <w:spacing w:after="0" w:line="174" w:lineRule="exact"/>
        <w:rPr>
          <w:sz w:val="20"/>
          <w:szCs w:val="20"/>
          <w:color w:val="auto"/>
        </w:rPr>
      </w:pPr>
    </w:p>
    <w:p>
      <w:pPr>
        <w:ind w:left="381"/>
        <w:spacing w:after="0" w:line="246" w:lineRule="auto"/>
        <w:rPr>
          <w:sz w:val="20"/>
          <w:szCs w:val="20"/>
          <w:color w:val="auto"/>
        </w:rPr>
      </w:pPr>
      <w:r>
        <w:rPr>
          <w:rFonts w:ascii="Times New Roman" w:cs="Times New Roman" w:eastAsia="Times New Roman" w:hAnsi="Times New Roman"/>
          <w:sz w:val="17"/>
          <w:szCs w:val="17"/>
          <w:color w:val="auto"/>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fair value of the contingent interest derivative liability was $47,000 and $431,000 and December 31, 2024 and 2023, respectively, and is recognized as a derivative liability in the consolidated balance sheet. The change in the fair value of the derivative liability for the years ended December 31, 2024 and 2023 of ($384,000) and $182,000, respectively, was charged to other expense/(income) for the years ended December 31, 2024 and 2023. The amortization of the original $420,000 debt discount of $105,000 and $105,000 was recorded as additional interest expense for the years ended December 31, 2024 and 2023, respectively.</w:t>
      </w:r>
    </w:p>
    <w:p>
      <w:pPr>
        <w:spacing w:after="0" w:line="179" w:lineRule="exact"/>
        <w:rPr>
          <w:sz w:val="20"/>
          <w:szCs w:val="20"/>
          <w:color w:val="auto"/>
        </w:rPr>
      </w:pPr>
    </w:p>
    <w:p>
      <w:pPr>
        <w:ind w:left="381"/>
        <w:spacing w:after="0" w:line="295" w:lineRule="auto"/>
        <w:rPr>
          <w:sz w:val="20"/>
          <w:szCs w:val="20"/>
          <w:color w:val="auto"/>
        </w:rPr>
      </w:pPr>
      <w:r>
        <w:rPr>
          <w:rFonts w:ascii="Times New Roman" w:cs="Times New Roman" w:eastAsia="Times New Roman" w:hAnsi="Times New Roman"/>
          <w:sz w:val="15"/>
          <w:szCs w:val="15"/>
          <w:color w:val="auto"/>
        </w:rPr>
        <w:t>On May 14, 2024, Mr. Uihlein, as holder of the April 2021 Note irrevocably elected to convert the entire principal amount of such note, plus accrued and unpaid interest, into shares of common stock of the Company at a price of $5.00 per share, effective as of April 16, 2025, which is the maturity date of the April 2021 Note. The April 2021 Note will remain outstanding and accrue interest until maturity and no shares of common stock will be issued as a result of this election until April 16, 2025. As a result, the principal, plus accrued interest and related derivative liability are included in noncurrent liabilities at December 31, 2024.</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380"/>
        <w:spacing w:after="0" w:line="251" w:lineRule="auto"/>
        <w:rPr>
          <w:sz w:val="20"/>
          <w:szCs w:val="20"/>
          <w:color w:val="auto"/>
        </w:rPr>
      </w:pPr>
      <w:r>
        <w:rPr>
          <w:rFonts w:ascii="Times New Roman" w:cs="Times New Roman" w:eastAsia="Times New Roman" w:hAnsi="Times New Roman"/>
          <w:sz w:val="17"/>
          <w:szCs w:val="17"/>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2021 Note”) to evidence the first loan in the principal amount of $10,000,000. The second closing under the Loan Agreement for the remaining $10,000,000 occurred on December 20, 2021.</w:t>
      </w:r>
    </w:p>
    <w:p>
      <w:pPr>
        <w:spacing w:after="0" w:line="174" w:lineRule="exact"/>
        <w:rPr>
          <w:sz w:val="20"/>
          <w:szCs w:val="20"/>
          <w:color w:val="auto"/>
        </w:rPr>
      </w:pPr>
    </w:p>
    <w:p>
      <w:pPr>
        <w:ind w:left="380" w:right="60"/>
        <w:spacing w:after="0" w:line="295" w:lineRule="auto"/>
        <w:rPr>
          <w:sz w:val="20"/>
          <w:szCs w:val="20"/>
          <w:color w:val="auto"/>
        </w:rPr>
      </w:pPr>
      <w:r>
        <w:rPr>
          <w:rFonts w:ascii="Times New Roman" w:cs="Times New Roman" w:eastAsia="Times New Roman" w:hAnsi="Times New Roman"/>
          <w:sz w:val="15"/>
          <w:szCs w:val="15"/>
          <w:color w:val="auto"/>
        </w:rPr>
        <w:t>The September 2021 Note has a maturity date of September 17, 2025,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years ended December 31, 2024 and 2023, approximately $210,000 and $206,000, respectively, of interest expense was accrued and included with the principal in the financial statements.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September 2021 Note also includes a contingent interest component that requires the Company to pay additional interest at a rate of two and one-half percent</w:t>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(2.5%) per quarter (10% per annum) (the “Additional Interest”) beginning on the date of issuance of this Note and ending on the maturity date, provided however,</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that such payment is only required if and only if the noteholder elects to convert the entire balance of the September 2021 Note into the Company’s common stock</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on or prior to maturity. As the contingent event is not based on creditworthiness, such feature is not clearly and closely related to the host instrument and</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accordingly must be bifurcated and recognized as a derivative liability and a debt discount on the September Note at its inception. The fair value of the contingent</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interest derivative liability was $433,000 at note inception (September 17, 2021). The fair value of the contingent interest derivative liability was $94,000 and</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$169,000 and December 31, 2024 and 2023, respectively, and is recognized as a derivative liability in the consolidated balance sheet. The change in the fair value</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of the derivative liability for the years ended December 31, 2024 and 2023 of ($75,000) and $60,000, respectively, was recorded to other expense/(income) for the</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years ended December 31, 2024 and 2023. The amortization of the original $433,000 debt discount of $108,000 and $108,000 was recorded as additional interest</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expense for the years ended December 31, 2024 and 2023, respectively.</w:t>
      </w:r>
    </w:p>
    <w:p>
      <w:pPr>
        <w:spacing w:after="0" w:line="185" w:lineRule="exact"/>
        <w:rPr>
          <w:sz w:val="20"/>
          <w:szCs w:val="20"/>
          <w:color w:val="auto"/>
        </w:rPr>
      </w:pPr>
    </w:p>
    <w:p>
      <w:pPr>
        <w:ind w:left="380" w:right="40"/>
        <w:spacing w:after="0" w:line="248" w:lineRule="auto"/>
        <w:rPr>
          <w:sz w:val="20"/>
          <w:szCs w:val="20"/>
          <w:color w:val="auto"/>
        </w:rPr>
      </w:pPr>
      <w:r>
        <w:rPr>
          <w:rFonts w:ascii="Times New Roman" w:cs="Times New Roman" w:eastAsia="Times New Roman" w:hAnsi="Times New Roman"/>
          <w:sz w:val="17"/>
          <w:szCs w:val="17"/>
          <w:color w:val="auto"/>
        </w:rPr>
        <w:t>On December 20, 2021, the second of the two promissory notes under the Loan Agreement was executed and delivered, (the “December 2021 Note”) to evidence the second loan in the principal amount of $10,000,000. The December 2021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the years ended December 31, 2024 and 2023, approximately $209,000 and $204,000, respectively, of interest expense was accrued and included with the principal in the financial statements.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December 2021 Note also includes a contingent interest component that requires the Company to pay additional interest at a rate of two and one-half percent</w:t>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(2.5%) per quarter (10% per annum) (the “Additional Interest”) beginning on the date of issuance of this Note and ending on the maturity date, provided however,</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that such payment is only required if and only if the noteholder elects to convert the entire balance of the December 2021 Note into the Company’s common stock</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on or prior to maturity. As the contingent event is not based on creditworthiness, such feature is not clearly and closely related to the host instrument and</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accordingly must be bifurcated and recognized as a derivative liability and a debt discount on the December Note at its inception. The fair value of the contingent</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interest derivative liability was $415,000 at note inception (December 20, 2021). The fair value of the contingent interest derivative liability was $275,000 and</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$404,000 at December 31, 2024 and 2023, respectively, and is recognized as a derivative liability in the consolidated balance sheet. The change in the fair value of</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derivative liability for the years ended December 31, 2024 and 2023 of ($129,000) and $190,000, respectively was recorded to other expense/(income) for the</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years ended December 31, 2024 and 2023. The amortization of the original $415,000 debt discount of $104,000 and $104,000 was recorded as additional interest</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expense for the years ended December 31, 2024 and 2023, respectively.</w:t>
      </w:r>
    </w:p>
    <w:p>
      <w:pPr>
        <w:spacing w:after="0" w:line="185" w:lineRule="exact"/>
        <w:rPr>
          <w:sz w:val="20"/>
          <w:szCs w:val="20"/>
          <w:color w:val="auto"/>
        </w:rPr>
      </w:pPr>
    </w:p>
    <w:p>
      <w:pPr>
        <w:jc w:val="both"/>
        <w:ind w:left="380" w:right="200"/>
        <w:spacing w:after="0" w:line="255" w:lineRule="auto"/>
        <w:rPr>
          <w:sz w:val="20"/>
          <w:szCs w:val="20"/>
          <w:color w:val="auto"/>
        </w:rPr>
      </w:pPr>
      <w:r>
        <w:rPr>
          <w:rFonts w:ascii="Times New Roman" w:cs="Times New Roman" w:eastAsia="Times New Roman" w:hAnsi="Times New Roman"/>
          <w:sz w:val="17"/>
          <w:szCs w:val="17"/>
          <w:color w:val="auto"/>
        </w:rPr>
        <w:t>The Company’s contractual cash obligations related to the outstanding convertible notes payable is a repayment of the repayment of the September 2021 Note of the $10,000,000 plus accrued interest on September 17, 2025 and a repayment of the December 2021 Note of the $10,000,000 plus accrued interest on December 30, 2025, unless converted at the option of the noteholder.</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441" w:hanging="441"/>
        <w:spacing w:after="0"/>
        <w:tabs>
          <w:tab w:leader="none" w:pos="441"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w:t>
      </w:r>
    </w:p>
    <w:p>
      <w:pPr>
        <w:spacing w:after="0" w:line="205" w:lineRule="exact"/>
        <w:rPr>
          <w:rFonts w:ascii="Times New Roman" w:cs="Times New Roman" w:eastAsia="Times New Roman" w:hAnsi="Times New Roman"/>
          <w:sz w:val="17"/>
          <w:szCs w:val="17"/>
          <w:b w:val="1"/>
          <w:bCs w:val="1"/>
          <w:color w:val="auto"/>
        </w:rPr>
      </w:pPr>
    </w:p>
    <w:p>
      <w:pPr>
        <w:ind w:left="441"/>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were no level 1 or 2 assets or liabilities at December 31, 2024 or 2023.</w:t>
      </w:r>
    </w:p>
    <w:p>
      <w:pPr>
        <w:spacing w:after="0" w:line="201" w:lineRule="exact"/>
        <w:rPr>
          <w:rFonts w:ascii="Times New Roman" w:cs="Times New Roman" w:eastAsia="Times New Roman" w:hAnsi="Times New Roman"/>
          <w:sz w:val="17"/>
          <w:szCs w:val="17"/>
          <w:b w:val="1"/>
          <w:bCs w:val="1"/>
          <w:color w:val="auto"/>
        </w:rPr>
      </w:pPr>
    </w:p>
    <w:p>
      <w:pPr>
        <w:ind w:left="441"/>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3 assets and liabilities measured and recorded at fair value on a recurring basis at December 31, 2024 and 2023 were as follows:</w:t>
      </w:r>
    </w:p>
    <w:p>
      <w:pPr>
        <w:spacing w:after="0" w:line="197" w:lineRule="exact"/>
        <w:rPr>
          <w:sz w:val="20"/>
          <w:szCs w:val="20"/>
          <w:color w:val="auto"/>
        </w:rPr>
      </w:pPr>
    </w:p>
    <w:tbl>
      <w:tblPr>
        <w:tblLayout w:type="fixed"/>
        <w:tblInd w:w="441" w:type="dxa"/>
        <w:tblCellMar>
          <w:top w:w="0" w:type="dxa"/>
          <w:left w:w="0" w:type="dxa"/>
          <w:bottom w:w="0" w:type="dxa"/>
          <w:right w:w="0" w:type="dxa"/>
        </w:tblCellMar>
      </w:tblPr>
      <w:tr>
        <w:trPr>
          <w:trHeight w:val="224"/>
        </w:trPr>
        <w:tc>
          <w:tcPr>
            <w:tcW w:w="7600" w:type="dxa"/>
            <w:vAlign w:val="bottom"/>
          </w:tcPr>
          <w:p>
            <w:pPr>
              <w:spacing w:after="0"/>
              <w:rPr>
                <w:sz w:val="19"/>
                <w:szCs w:val="19"/>
                <w:color w:val="auto"/>
              </w:rPr>
            </w:pP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8"/>
              </w:rPr>
              <w:t>December 31, 2024</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7"/>
              </w:rPr>
              <w:t>December 31, 2023</w:t>
            </w:r>
          </w:p>
        </w:tc>
      </w:tr>
      <w:tr>
        <w:trPr>
          <w:trHeight w:val="198"/>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Liability – Contingent Interest April Note</w:t>
            </w:r>
          </w:p>
        </w:tc>
        <w:tc>
          <w:tcPr>
            <w:tcW w:w="48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47,000</w:t>
            </w: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431,000</w:t>
            </w:r>
          </w:p>
        </w:tc>
        <w:tc>
          <w:tcPr>
            <w:tcW w:w="120" w:type="dxa"/>
            <w:vAlign w:val="bottom"/>
            <w:shd w:val="clear" w:color="auto" w:fill="CCEEFF"/>
          </w:tcPr>
          <w:p>
            <w:pPr>
              <w:spacing w:after="0"/>
              <w:rPr>
                <w:sz w:val="17"/>
                <w:szCs w:val="17"/>
                <w:color w:val="auto"/>
              </w:rPr>
            </w:pPr>
          </w:p>
        </w:tc>
      </w:tr>
      <w:tr>
        <w:trPr>
          <w:trHeight w:val="198"/>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Derivative Liability – Contingent Interest September Note</w:t>
            </w:r>
          </w:p>
        </w:tc>
        <w:tc>
          <w:tcPr>
            <w:tcW w:w="48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94,000</w:t>
            </w:r>
          </w:p>
        </w:tc>
        <w:tc>
          <w:tcPr>
            <w:tcW w:w="48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169,000</w:t>
            </w:r>
          </w:p>
        </w:tc>
      </w:tr>
      <w:tr>
        <w:trPr>
          <w:trHeight w:val="198"/>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Liability – Contingent Interest December Note</w:t>
            </w:r>
          </w:p>
        </w:tc>
        <w:tc>
          <w:tcPr>
            <w:tcW w:w="4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275,000</w:t>
            </w:r>
          </w:p>
        </w:tc>
        <w:tc>
          <w:tcPr>
            <w:tcW w:w="4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404,000</w:t>
            </w:r>
          </w:p>
        </w:tc>
      </w:tr>
    </w:tbl>
    <w:p>
      <w:pPr>
        <w:spacing w:after="0" w:line="182" w:lineRule="exact"/>
        <w:rPr>
          <w:sz w:val="20"/>
          <w:szCs w:val="20"/>
          <w:color w:val="auto"/>
        </w:rPr>
      </w:pPr>
    </w:p>
    <w:p>
      <w:pPr>
        <w:jc w:val="both"/>
        <w:ind w:left="441" w:right="100"/>
        <w:spacing w:after="0" w:line="267" w:lineRule="auto"/>
        <w:rPr>
          <w:sz w:val="20"/>
          <w:szCs w:val="20"/>
          <w:color w:val="auto"/>
        </w:rPr>
      </w:pPr>
      <w:r>
        <w:rPr>
          <w:rFonts w:ascii="Times New Roman" w:cs="Times New Roman" w:eastAsia="Times New Roman" w:hAnsi="Times New Roman"/>
          <w:sz w:val="17"/>
          <w:szCs w:val="17"/>
          <w:color w:val="auto"/>
        </w:rPr>
        <w:t>The April 2021 Note derivative liability – contingent interest was valued using a Monte Carlo Geometric Brownian Stock Path Model. The key assumptions used in the model at December 31, 2024 and 2023 are as follows:</w:t>
      </w:r>
    </w:p>
    <w:p>
      <w:pPr>
        <w:spacing w:after="0" w:line="156" w:lineRule="exact"/>
        <w:rPr>
          <w:sz w:val="20"/>
          <w:szCs w:val="20"/>
          <w:color w:val="auto"/>
        </w:rPr>
      </w:pPr>
    </w:p>
    <w:tbl>
      <w:tblPr>
        <w:tblLayout w:type="fixed"/>
        <w:tblInd w:w="441" w:type="dxa"/>
        <w:tblCellMar>
          <w:top w:w="0" w:type="dxa"/>
          <w:left w:w="0" w:type="dxa"/>
          <w:bottom w:w="0" w:type="dxa"/>
          <w:right w:w="0" w:type="dxa"/>
        </w:tblCellMar>
      </w:tblPr>
      <w:tr>
        <w:trPr>
          <w:trHeight w:val="224"/>
        </w:trPr>
        <w:tc>
          <w:tcPr>
            <w:tcW w:w="764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Conversion Price of conversion feature</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5.00</w:t>
            </w: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7"/>
                <w:szCs w:val="17"/>
                <w:color w:val="auto"/>
              </w:rPr>
            </w:pP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0.29 years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1.29 years</w:t>
            </w:r>
          </w:p>
        </w:tc>
      </w:tr>
      <w:tr>
        <w:trPr>
          <w:trHeight w:val="198"/>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3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4.37%</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Adjusted Discount Rate</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12.43%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r>
      <w:tr>
        <w:trPr>
          <w:trHeight w:val="198"/>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3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Rate</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7"/>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The roll forward of the April 2021 Note derivative liability – contingent interest is as follows: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2022</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249,000</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182,000</w:t>
            </w:r>
          </w:p>
        </w:tc>
        <w:tc>
          <w:tcPr>
            <w:tcW w:w="100" w:type="dxa"/>
            <w:vAlign w:val="bottom"/>
          </w:tcPr>
          <w:p>
            <w:pPr>
              <w:spacing w:after="0"/>
              <w:rPr>
                <w:sz w:val="17"/>
                <w:szCs w:val="17"/>
                <w:color w:val="auto"/>
              </w:rPr>
            </w:pP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2023</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431,000</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(384,000)</w:t>
            </w:r>
          </w:p>
        </w:tc>
      </w:tr>
      <w:tr>
        <w:trPr>
          <w:trHeight w:val="238"/>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2024</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2" w:lineRule="exact"/>
        <w:rPr>
          <w:sz w:val="20"/>
          <w:szCs w:val="20"/>
          <w:color w:val="auto"/>
        </w:rPr>
      </w:pPr>
    </w:p>
    <w:p>
      <w:pPr>
        <w:ind w:left="441" w:right="100"/>
        <w:spacing w:after="0" w:line="267" w:lineRule="auto"/>
        <w:rPr>
          <w:sz w:val="20"/>
          <w:szCs w:val="20"/>
          <w:color w:val="auto"/>
        </w:rPr>
      </w:pPr>
      <w:r>
        <w:rPr>
          <w:rFonts w:ascii="Times New Roman" w:cs="Times New Roman" w:eastAsia="Times New Roman" w:hAnsi="Times New Roman"/>
          <w:sz w:val="17"/>
          <w:szCs w:val="17"/>
          <w:color w:val="auto"/>
        </w:rPr>
        <w:t>The September 2021 Note derivative liability – contingent interest was valued using a Monte Carlo Geometric Brownian Stock Path Model. The key assumptions used in the model at inception, and at December 31, 2024 and 2023 are as follows:</w:t>
      </w:r>
    </w:p>
    <w:p>
      <w:pPr>
        <w:spacing w:after="0" w:line="156" w:lineRule="exact"/>
        <w:rPr>
          <w:sz w:val="20"/>
          <w:szCs w:val="20"/>
          <w:color w:val="auto"/>
        </w:rPr>
      </w:pPr>
    </w:p>
    <w:tbl>
      <w:tblPr>
        <w:tblLayout w:type="fixed"/>
        <w:tblInd w:w="1"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8"/>
        </w:trPr>
        <w:tc>
          <w:tcPr>
            <w:tcW w:w="44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4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Conversion Price of conversion feature</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8.64</w:t>
            </w: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tcPr>
          <w:p>
            <w:pPr>
              <w:spacing w:after="0"/>
              <w:rPr>
                <w:sz w:val="17"/>
                <w:szCs w:val="17"/>
                <w:color w:val="auto"/>
              </w:rPr>
            </w:pPr>
          </w:p>
        </w:tc>
      </w:tr>
      <w:tr>
        <w:trPr>
          <w:trHeight w:val="198"/>
        </w:trPr>
        <w:tc>
          <w:tcPr>
            <w:tcW w:w="44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0.72 years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1.72 years</w:t>
            </w:r>
          </w:p>
        </w:tc>
      </w:tr>
      <w:tr>
        <w:trPr>
          <w:trHeight w:val="198"/>
        </w:trPr>
        <w:tc>
          <w:tcPr>
            <w:tcW w:w="44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3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198"/>
        </w:trPr>
        <w:tc>
          <w:tcPr>
            <w:tcW w:w="44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Adjusted Discount Rate</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12.43%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r>
      <w:tr>
        <w:trPr>
          <w:trHeight w:val="198"/>
        </w:trPr>
        <w:tc>
          <w:tcPr>
            <w:tcW w:w="44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3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198"/>
        </w:trPr>
        <w:tc>
          <w:tcPr>
            <w:tcW w:w="44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Rate</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7"/>
        </w:trPr>
        <w:tc>
          <w:tcPr>
            <w:tcW w:w="4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The roll forward of the September 2021 Note derivative liability – contingent interest is as follows: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4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4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2022</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109,000</w:t>
            </w:r>
          </w:p>
        </w:tc>
        <w:tc>
          <w:tcPr>
            <w:tcW w:w="100" w:type="dxa"/>
            <w:vAlign w:val="bottom"/>
            <w:shd w:val="clear" w:color="auto" w:fill="CCEEFF"/>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7"/>
                <w:szCs w:val="17"/>
                <w:color w:val="auto"/>
              </w:rPr>
            </w:pPr>
          </w:p>
        </w:tc>
      </w:tr>
      <w:tr>
        <w:trPr>
          <w:trHeight w:val="198"/>
        </w:trPr>
        <w:tc>
          <w:tcPr>
            <w:tcW w:w="44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2023</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169,000</w:t>
            </w:r>
          </w:p>
        </w:tc>
        <w:tc>
          <w:tcPr>
            <w:tcW w:w="100" w:type="dxa"/>
            <w:vAlign w:val="bottom"/>
            <w:shd w:val="clear" w:color="auto" w:fill="CCEEFF"/>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(75,000)</w:t>
            </w:r>
          </w:p>
        </w:tc>
      </w:tr>
      <w:tr>
        <w:trPr>
          <w:trHeight w:val="238"/>
        </w:trPr>
        <w:tc>
          <w:tcPr>
            <w:tcW w:w="440" w:type="dxa"/>
            <w:vAlign w:val="bottom"/>
          </w:tcPr>
          <w:p>
            <w:pPr>
              <w:spacing w:after="0"/>
              <w:rPr>
                <w:sz w:val="20"/>
                <w:szCs w:val="20"/>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2024</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13"/>
        </w:trPr>
        <w:tc>
          <w:tcPr>
            <w:tcW w:w="440" w:type="dxa"/>
            <w:vAlign w:val="bottom"/>
          </w:tcPr>
          <w:p>
            <w:pPr>
              <w:spacing w:after="0"/>
              <w:rPr>
                <w:sz w:val="24"/>
                <w:szCs w:val="24"/>
                <w:color w:val="auto"/>
              </w:rPr>
            </w:pPr>
          </w:p>
        </w:tc>
        <w:tc>
          <w:tcPr>
            <w:tcW w:w="7640" w:type="dxa"/>
            <w:vAlign w:val="bottom"/>
          </w:tcPr>
          <w:p>
            <w:pPr>
              <w:ind w:left="5060"/>
              <w:spacing w:after="0"/>
              <w:rPr>
                <w:sz w:val="20"/>
                <w:szCs w:val="20"/>
                <w:color w:val="auto"/>
              </w:rPr>
            </w:pPr>
            <w:r>
              <w:rPr>
                <w:rFonts w:ascii="Times New Roman" w:cs="Times New Roman" w:eastAsia="Times New Roman" w:hAnsi="Times New Roman"/>
                <w:sz w:val="13"/>
                <w:szCs w:val="13"/>
                <w:color w:val="auto"/>
              </w:rPr>
              <w:t>F-12</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44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1"/>
          </w:cols>
          <w:pgMar w:left="319" w:top="115" w:right="339" w:bottom="1440" w:gutter="0" w:footer="0" w:header="0"/>
        </w:sectPr>
      </w:pPr>
    </w:p>
    <w:bookmarkStart w:id="68" w:name="page69"/>
    <w:bookmarkEnd w:id="68"/>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441" w:right="120"/>
        <w:spacing w:after="0" w:line="267" w:lineRule="auto"/>
        <w:rPr>
          <w:sz w:val="20"/>
          <w:szCs w:val="20"/>
          <w:color w:val="auto"/>
        </w:rPr>
      </w:pPr>
      <w:r>
        <w:rPr>
          <w:rFonts w:ascii="Times New Roman" w:cs="Times New Roman" w:eastAsia="Times New Roman" w:hAnsi="Times New Roman"/>
          <w:sz w:val="17"/>
          <w:szCs w:val="17"/>
          <w:color w:val="auto"/>
        </w:rPr>
        <w:t>The December 2021 Note derivative liability – contingent interest was valued using a Monte Carlo Geometric Brownian Stock Path Model. The key assumptions used in the model at inception, and at December 31, 2024 and 2023 are as follows:</w:t>
      </w:r>
    </w:p>
    <w:p>
      <w:pPr>
        <w:spacing w:after="0" w:line="156" w:lineRule="exact"/>
        <w:rPr>
          <w:sz w:val="20"/>
          <w:szCs w:val="20"/>
          <w:color w:val="auto"/>
        </w:rPr>
      </w:pPr>
    </w:p>
    <w:tbl>
      <w:tblPr>
        <w:tblLayout w:type="fixed"/>
        <w:tblInd w:w="441" w:type="dxa"/>
        <w:tblCellMar>
          <w:top w:w="0" w:type="dxa"/>
          <w:left w:w="0" w:type="dxa"/>
          <w:bottom w:w="0" w:type="dxa"/>
          <w:right w:w="0" w:type="dxa"/>
        </w:tblCellMar>
      </w:tblPr>
      <w:tr>
        <w:trPr>
          <w:trHeight w:val="224"/>
        </w:trPr>
        <w:tc>
          <w:tcPr>
            <w:tcW w:w="764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Conversion Price of conversion feature</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5.43</w:t>
            </w: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7"/>
                <w:szCs w:val="17"/>
                <w:color w:val="auto"/>
              </w:rPr>
            </w:pP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0.97 years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1.97 years</w:t>
            </w:r>
          </w:p>
        </w:tc>
      </w:tr>
      <w:tr>
        <w:trPr>
          <w:trHeight w:val="198"/>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3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Adjusted Discount Rate</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12.43%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r>
      <w:tr>
        <w:trPr>
          <w:trHeight w:val="198"/>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3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Rate</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7"/>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The roll forward of the December 2021 Note derivative liability – contingent interest is as follows: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2022</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center"/>
              <w:ind w:left="257"/>
              <w:spacing w:after="0"/>
              <w:rPr>
                <w:sz w:val="20"/>
                <w:szCs w:val="20"/>
                <w:color w:val="auto"/>
              </w:rPr>
            </w:pPr>
            <w:r>
              <w:rPr>
                <w:rFonts w:ascii="Times New Roman" w:cs="Times New Roman" w:eastAsia="Times New Roman" w:hAnsi="Times New Roman"/>
                <w:sz w:val="17"/>
                <w:szCs w:val="17"/>
                <w:color w:val="auto"/>
                <w:w w:val="94"/>
              </w:rPr>
              <w:t>214,000</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left="257"/>
              <w:spacing w:after="0"/>
              <w:rPr>
                <w:sz w:val="20"/>
                <w:szCs w:val="20"/>
                <w:color w:val="auto"/>
              </w:rPr>
            </w:pPr>
            <w:r>
              <w:rPr>
                <w:rFonts w:ascii="Times New Roman" w:cs="Times New Roman" w:eastAsia="Times New Roman" w:hAnsi="Times New Roman"/>
                <w:sz w:val="17"/>
                <w:szCs w:val="17"/>
                <w:color w:val="auto"/>
                <w:w w:val="94"/>
              </w:rPr>
              <w:t>190,000</w:t>
            </w:r>
          </w:p>
        </w:tc>
        <w:tc>
          <w:tcPr>
            <w:tcW w:w="100" w:type="dxa"/>
            <w:vAlign w:val="bottom"/>
          </w:tcPr>
          <w:p>
            <w:pPr>
              <w:spacing w:after="0"/>
              <w:rPr>
                <w:sz w:val="17"/>
                <w:szCs w:val="17"/>
                <w:color w:val="auto"/>
              </w:rPr>
            </w:pP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2023</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left="257"/>
              <w:spacing w:after="0"/>
              <w:rPr>
                <w:sz w:val="20"/>
                <w:szCs w:val="20"/>
                <w:color w:val="auto"/>
              </w:rPr>
            </w:pPr>
            <w:r>
              <w:rPr>
                <w:rFonts w:ascii="Times New Roman" w:cs="Times New Roman" w:eastAsia="Times New Roman" w:hAnsi="Times New Roman"/>
                <w:sz w:val="17"/>
                <w:szCs w:val="17"/>
                <w:color w:val="auto"/>
                <w:w w:val="94"/>
              </w:rPr>
              <w:t>404,000</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left="157"/>
              <w:spacing w:after="0"/>
              <w:rPr>
                <w:sz w:val="20"/>
                <w:szCs w:val="20"/>
                <w:color w:val="auto"/>
              </w:rPr>
            </w:pPr>
            <w:r>
              <w:rPr>
                <w:rFonts w:ascii="Times New Roman" w:cs="Times New Roman" w:eastAsia="Times New Roman" w:hAnsi="Times New Roman"/>
                <w:sz w:val="17"/>
                <w:szCs w:val="17"/>
                <w:color w:val="auto"/>
                <w:w w:val="96"/>
              </w:rPr>
              <w:t>(129,000)</w:t>
            </w:r>
          </w:p>
        </w:tc>
      </w:tr>
      <w:tr>
        <w:trPr>
          <w:trHeight w:val="238"/>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2024</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center"/>
              <w:ind w:left="257"/>
              <w:spacing w:after="0"/>
              <w:rPr>
                <w:sz w:val="20"/>
                <w:szCs w:val="20"/>
                <w:color w:val="auto"/>
              </w:rPr>
            </w:pPr>
            <w:r>
              <w:rPr>
                <w:rFonts w:ascii="Times New Roman" w:cs="Times New Roman" w:eastAsia="Times New Roman" w:hAnsi="Times New Roman"/>
                <w:sz w:val="17"/>
                <w:szCs w:val="17"/>
                <w:color w:val="auto"/>
                <w:w w:val="94"/>
              </w:rPr>
              <w:t>275,000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78" w:lineRule="exact"/>
        <w:rPr>
          <w:sz w:val="20"/>
          <w:szCs w:val="20"/>
          <w:color w:val="auto"/>
        </w:rPr>
      </w:pPr>
    </w:p>
    <w:p>
      <w:pPr>
        <w:ind w:left="401" w:hanging="401"/>
        <w:spacing w:after="0"/>
        <w:tabs>
          <w:tab w:leader="none" w:pos="401"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205" w:lineRule="exact"/>
        <w:rPr>
          <w:rFonts w:ascii="Times New Roman" w:cs="Times New Roman" w:eastAsia="Times New Roman" w:hAnsi="Times New Roman"/>
          <w:sz w:val="17"/>
          <w:szCs w:val="17"/>
          <w:b w:val="1"/>
          <w:bCs w:val="1"/>
          <w:color w:val="auto"/>
        </w:rPr>
      </w:pPr>
    </w:p>
    <w:p>
      <w:pPr>
        <w:ind w:left="401"/>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December 31, 2024, the Company had 150,000,000 shares of common stock and 20,000,000 undesignated shares authorized. As of December 31, 2024,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 All issued and outstanding shares of Series B-1, Series B-2 and Series B-3 Preferred Stock were converted into Common Stock on January 19, 2019.</w:t>
      </w:r>
    </w:p>
    <w:p>
      <w:pPr>
        <w:spacing w:after="0" w:line="175" w:lineRule="exact"/>
        <w:rPr>
          <w:rFonts w:ascii="Times New Roman" w:cs="Times New Roman" w:eastAsia="Times New Roman" w:hAnsi="Times New Roman"/>
          <w:sz w:val="17"/>
          <w:szCs w:val="17"/>
          <w:b w:val="1"/>
          <w:bCs w:val="1"/>
          <w:color w:val="auto"/>
        </w:rPr>
      </w:pPr>
    </w:p>
    <w:p>
      <w:pPr>
        <w:ind w:left="401"/>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2020 At Market Issuance of Common Stock</w:t>
      </w:r>
    </w:p>
    <w:p>
      <w:pPr>
        <w:spacing w:after="0" w:line="203" w:lineRule="exact"/>
        <w:rPr>
          <w:rFonts w:ascii="Times New Roman" w:cs="Times New Roman" w:eastAsia="Times New Roman" w:hAnsi="Times New Roman"/>
          <w:sz w:val="17"/>
          <w:szCs w:val="17"/>
          <w:b w:val="1"/>
          <w:bCs w:val="1"/>
          <w:color w:val="auto"/>
        </w:rPr>
      </w:pPr>
    </w:p>
    <w:p>
      <w:pPr>
        <w:ind w:left="401" w:right="100"/>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There were no issuances of common stock under the 2020 At Market Agreement during the year ended December 31, 2024 or 2023.</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12% Convertible Preferred Stock — February 4, 2008 Private Placement</w:t>
      </w:r>
    </w:p>
    <w:p>
      <w:pPr>
        <w:spacing w:after="0" w:line="205" w:lineRule="exact"/>
        <w:rPr>
          <w:sz w:val="20"/>
          <w:szCs w:val="20"/>
          <w:color w:val="auto"/>
        </w:rPr>
      </w:pPr>
    </w:p>
    <w:p>
      <w:pPr>
        <w:ind w:left="400" w:right="80"/>
        <w:spacing w:after="0" w:line="247" w:lineRule="auto"/>
        <w:rPr>
          <w:sz w:val="20"/>
          <w:szCs w:val="20"/>
          <w:color w:val="auto"/>
        </w:rPr>
      </w:pPr>
      <w:r>
        <w:rPr>
          <w:rFonts w:ascii="Times New Roman" w:cs="Times New Roman" w:eastAsia="Times New Roman" w:hAnsi="Times New Roman"/>
          <w:sz w:val="17"/>
          <w:szCs w:val="17"/>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179" w:lineRule="exact"/>
        <w:rPr>
          <w:sz w:val="20"/>
          <w:szCs w:val="20"/>
          <w:color w:val="auto"/>
        </w:rPr>
      </w:pPr>
    </w:p>
    <w:p>
      <w:pPr>
        <w:ind w:left="400"/>
        <w:spacing w:after="0" w:line="248" w:lineRule="auto"/>
        <w:rPr>
          <w:sz w:val="20"/>
          <w:szCs w:val="20"/>
          <w:color w:val="auto"/>
        </w:rPr>
      </w:pPr>
      <w:r>
        <w:rPr>
          <w:rFonts w:ascii="Times New Roman" w:cs="Times New Roman" w:eastAsia="Times New Roman" w:hAnsi="Times New Roman"/>
          <w:sz w:val="17"/>
          <w:szCs w:val="17"/>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77" w:lineRule="exact"/>
        <w:rPr>
          <w:sz w:val="20"/>
          <w:szCs w:val="20"/>
          <w:color w:val="auto"/>
        </w:rPr>
      </w:pPr>
    </w:p>
    <w:p>
      <w:pPr>
        <w:ind w:left="400" w:right="80"/>
        <w:spacing w:after="0" w:line="267" w:lineRule="auto"/>
        <w:rPr>
          <w:sz w:val="20"/>
          <w:szCs w:val="20"/>
          <w:color w:val="auto"/>
        </w:rPr>
      </w:pPr>
      <w:r>
        <w:rPr>
          <w:rFonts w:ascii="Times New Roman" w:cs="Times New Roman" w:eastAsia="Times New Roman" w:hAnsi="Times New Roman"/>
          <w:sz w:val="17"/>
          <w:szCs w:val="17"/>
          <w:color w:val="auto"/>
        </w:rPr>
        <w:t>In 2023, 25,000 shares of Series A were converted into 4,257 shares of common stock. Prior to 2021, a total of 507,500 shares of Series A had been converted into 81,152 shares of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C 6% Super Dividend Redeemable Convertible Preferred Stock</w:t>
      </w:r>
    </w:p>
    <w:p>
      <w:pPr>
        <w:spacing w:after="0" w:line="205" w:lineRule="exact"/>
        <w:rPr>
          <w:sz w:val="20"/>
          <w:szCs w:val="20"/>
          <w:color w:val="auto"/>
        </w:rPr>
      </w:pPr>
    </w:p>
    <w:p>
      <w:pPr>
        <w:ind w:left="400" w:right="180"/>
        <w:spacing w:after="0" w:line="267" w:lineRule="auto"/>
        <w:rPr>
          <w:sz w:val="20"/>
          <w:szCs w:val="20"/>
          <w:color w:val="auto"/>
        </w:rPr>
      </w:pPr>
      <w:r>
        <w:rPr>
          <w:rFonts w:ascii="Times New Roman" w:cs="Times New Roman" w:eastAsia="Times New Roman" w:hAnsi="Times New Roman"/>
          <w:sz w:val="17"/>
          <w:szCs w:val="17"/>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0" w:lineRule="exact"/>
        <w:rPr>
          <w:sz w:val="20"/>
          <w:szCs w:val="20"/>
          <w:color w:val="auto"/>
        </w:rPr>
      </w:pPr>
    </w:p>
    <w:p>
      <w:pPr>
        <w:ind w:left="400" w:right="200"/>
        <w:spacing w:after="0" w:line="251" w:lineRule="auto"/>
        <w:rPr>
          <w:sz w:val="20"/>
          <w:szCs w:val="20"/>
          <w:color w:val="auto"/>
        </w:rPr>
      </w:pPr>
      <w:r>
        <w:rPr>
          <w:rFonts w:ascii="Times New Roman" w:cs="Times New Roman" w:eastAsia="Times New Roman" w:hAnsi="Times New Roman"/>
          <w:sz w:val="17"/>
          <w:szCs w:val="17"/>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terms of the Series C are as follows:</w:t>
      </w:r>
    </w:p>
    <w:p>
      <w:pPr>
        <w:spacing w:after="0" w:line="199" w:lineRule="exact"/>
        <w:rPr>
          <w:sz w:val="20"/>
          <w:szCs w:val="20"/>
          <w:color w:val="auto"/>
        </w:rPr>
      </w:pPr>
    </w:p>
    <w:p>
      <w:pPr>
        <w:ind w:left="400" w:right="80"/>
        <w:spacing w:after="0" w:line="252" w:lineRule="auto"/>
        <w:rPr>
          <w:sz w:val="20"/>
          <w:szCs w:val="20"/>
          <w:color w:val="auto"/>
        </w:rPr>
      </w:pPr>
      <w:r>
        <w:rPr>
          <w:rFonts w:ascii="Times New Roman" w:cs="Times New Roman" w:eastAsia="Times New Roman" w:hAnsi="Times New Roman"/>
          <w:sz w:val="17"/>
          <w:szCs w:val="17"/>
          <w:i w:val="1"/>
          <w:iCs w:val="1"/>
          <w:color w:val="auto"/>
        </w:rPr>
        <w:t>Conversion Rights</w:t>
      </w:r>
      <w:r>
        <w:rPr>
          <w:rFonts w:ascii="Times New Roman" w:cs="Times New Roman" w:eastAsia="Times New Roman" w:hAnsi="Times New Roman"/>
          <w:sz w:val="17"/>
          <w:szCs w:val="17"/>
          <w:color w:val="auto"/>
        </w:rPr>
        <w:t>. Each holder of Series C may convert all, but not less than all, of his Series C shares plus accrued and unpaid dividends into Common Stock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price of $6.00 per share of Common Stock (“Conversion Price”), such that approximately 1,667 shares of Common Stock will be issued per each converted share of Series C (accrued and unpaid dividends will be issued as additional shares). At December 31, 2024 and 2023, the 176 outstanding shares of Series C were convertible into a total of approximately 293,340 shares of Common Stock.</w:t>
      </w:r>
    </w:p>
    <w:p>
      <w:pPr>
        <w:spacing w:after="0" w:line="173" w:lineRule="exact"/>
        <w:rPr>
          <w:sz w:val="20"/>
          <w:szCs w:val="20"/>
          <w:color w:val="auto"/>
        </w:rPr>
      </w:pPr>
    </w:p>
    <w:p>
      <w:pPr>
        <w:ind w:left="400" w:right="80"/>
        <w:spacing w:after="0" w:line="255" w:lineRule="auto"/>
        <w:rPr>
          <w:sz w:val="20"/>
          <w:szCs w:val="20"/>
          <w:color w:val="auto"/>
        </w:rPr>
      </w:pPr>
      <w:r>
        <w:rPr>
          <w:rFonts w:ascii="Times New Roman" w:cs="Times New Roman" w:eastAsia="Times New Roman" w:hAnsi="Times New Roman"/>
          <w:sz w:val="17"/>
          <w:szCs w:val="17"/>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169" w:lineRule="exact"/>
        <w:rPr>
          <w:sz w:val="20"/>
          <w:szCs w:val="20"/>
          <w:color w:val="auto"/>
        </w:rPr>
      </w:pPr>
    </w:p>
    <w:p>
      <w:pPr>
        <w:ind w:left="400"/>
        <w:spacing w:after="0" w:line="225"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Holders of Series C shall be entitled to receive cumulative non-compounding dividends at the rate per share of Series C equal to the greater of (i) 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 annum of the Stated Value (also defined as the “Floor”)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(GM-CT-01), less chargebacks, returns, expenses attributable to product recalls, duties, customs, sales tax, freight, insurance, shipping expenses, allowances and other customary deductions.</w:t>
      </w:r>
    </w:p>
    <w:p>
      <w:pPr>
        <w:spacing w:after="0" w:line="184" w:lineRule="exact"/>
        <w:rPr>
          <w:sz w:val="20"/>
          <w:szCs w:val="20"/>
          <w:color w:val="auto"/>
        </w:rPr>
      </w:pPr>
    </w:p>
    <w:p>
      <w:pPr>
        <w:ind w:left="400" w:right="140"/>
        <w:spacing w:after="0" w:line="291" w:lineRule="auto"/>
        <w:rPr>
          <w:sz w:val="20"/>
          <w:szCs w:val="20"/>
          <w:color w:val="auto"/>
        </w:rPr>
      </w:pPr>
      <w:r>
        <w:rPr>
          <w:rFonts w:ascii="Times New Roman" w:cs="Times New Roman" w:eastAsia="Times New Roman" w:hAnsi="Times New Roman"/>
          <w:sz w:val="15"/>
          <w:szCs w:val="15"/>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143" w:lineRule="exact"/>
        <w:rPr>
          <w:sz w:val="20"/>
          <w:szCs w:val="20"/>
          <w:color w:val="auto"/>
        </w:rPr>
      </w:pPr>
    </w:p>
    <w:p>
      <w:pPr>
        <w:ind w:left="400"/>
        <w:spacing w:after="0" w:line="283" w:lineRule="auto"/>
        <w:rPr>
          <w:sz w:val="20"/>
          <w:szCs w:val="20"/>
          <w:color w:val="auto"/>
        </w:rPr>
      </w:pPr>
      <w:r>
        <w:rPr>
          <w:rFonts w:ascii="Times New Roman" w:cs="Times New Roman" w:eastAsia="Times New Roman" w:hAnsi="Times New Roman"/>
          <w:sz w:val="15"/>
          <w:szCs w:val="15"/>
          <w:i w:val="1"/>
          <w:iCs w:val="1"/>
          <w:color w:val="auto"/>
        </w:rPr>
        <w:t>Series C Post Conversion Dividend Right</w:t>
      </w:r>
      <w:r>
        <w:rPr>
          <w:rFonts w:ascii="Times New Roman" w:cs="Times New Roman" w:eastAsia="Times New Roman" w:hAnsi="Times New Roman"/>
          <w:sz w:val="15"/>
          <w:szCs w:val="15"/>
          <w:color w:val="auto"/>
        </w:rPr>
        <w:t>. In the event that any share of Series C is converted into Common Stock before the Maximum Payout is paid in respect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400" w:right="80"/>
        <w:spacing w:after="0" w:line="249" w:lineRule="auto"/>
        <w:rPr>
          <w:sz w:val="20"/>
          <w:szCs w:val="20"/>
          <w:color w:val="auto"/>
        </w:rPr>
      </w:pPr>
      <w:r>
        <w:rPr>
          <w:rFonts w:ascii="Times New Roman" w:cs="Times New Roman" w:eastAsia="Times New Roman" w:hAnsi="Times New Roman"/>
          <w:sz w:val="17"/>
          <w:szCs w:val="17"/>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177" w:lineRule="exact"/>
        <w:rPr>
          <w:sz w:val="20"/>
          <w:szCs w:val="20"/>
          <w:color w:val="auto"/>
        </w:rPr>
      </w:pPr>
    </w:p>
    <w:p>
      <w:pPr>
        <w:ind w:left="400"/>
        <w:spacing w:after="0" w:line="248" w:lineRule="auto"/>
        <w:rPr>
          <w:sz w:val="20"/>
          <w:szCs w:val="20"/>
          <w:color w:val="auto"/>
        </w:rPr>
      </w:pPr>
      <w:r>
        <w:rPr>
          <w:rFonts w:ascii="Times New Roman" w:cs="Times New Roman" w:eastAsia="Times New Roman" w:hAnsi="Times New Roman"/>
          <w:sz w:val="17"/>
          <w:szCs w:val="17"/>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175" w:lineRule="exact"/>
        <w:rPr>
          <w:sz w:val="20"/>
          <w:szCs w:val="20"/>
          <w:color w:val="auto"/>
        </w:rPr>
      </w:pPr>
    </w:p>
    <w:p>
      <w:pPr>
        <w:ind w:left="400" w:right="280"/>
        <w:spacing w:after="0" w:line="257" w:lineRule="auto"/>
        <w:rPr>
          <w:sz w:val="20"/>
          <w:szCs w:val="20"/>
          <w:color w:val="auto"/>
        </w:rPr>
      </w:pPr>
      <w:r>
        <w:rPr>
          <w:rFonts w:ascii="Times New Roman" w:cs="Times New Roman" w:eastAsia="Times New Roman" w:hAnsi="Times New Roman"/>
          <w:sz w:val="17"/>
          <w:szCs w:val="17"/>
          <w:i w:val="1"/>
          <w:iCs w:val="1"/>
          <w:color w:val="auto"/>
        </w:rPr>
        <w:t>Liquidation Rights</w:t>
      </w:r>
      <w:r>
        <w:rPr>
          <w:rFonts w:ascii="Times New Roman" w:cs="Times New Roman" w:eastAsia="Times New Roman" w:hAnsi="Times New Roman"/>
          <w:sz w:val="17"/>
          <w:szCs w:val="17"/>
          <w:color w:val="auto"/>
        </w:rPr>
        <w:t>. In the event of any liquidation, dissolution or winding up of the Company, either voluntarily or involuntarily, the holders of Series C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166" w:lineRule="exact"/>
        <w:rPr>
          <w:sz w:val="20"/>
          <w:szCs w:val="20"/>
          <w:color w:val="auto"/>
        </w:rPr>
      </w:pPr>
    </w:p>
    <w:p>
      <w:pPr>
        <w:ind w:left="400" w:right="100"/>
        <w:spacing w:after="0" w:line="288" w:lineRule="auto"/>
        <w:rPr>
          <w:sz w:val="20"/>
          <w:szCs w:val="20"/>
          <w:color w:val="auto"/>
        </w:rPr>
      </w:pPr>
      <w:r>
        <w:rPr>
          <w:rFonts w:ascii="Times New Roman" w:cs="Times New Roman" w:eastAsia="Times New Roman" w:hAnsi="Times New Roman"/>
          <w:sz w:val="15"/>
          <w:szCs w:val="15"/>
          <w:i w:val="1"/>
          <w:iCs w:val="1"/>
          <w:color w:val="auto"/>
        </w:rPr>
        <w:t>Redemption</w:t>
      </w:r>
      <w:r>
        <w:rPr>
          <w:rFonts w:ascii="Times New Roman" w:cs="Times New Roman" w:eastAsia="Times New Roman" w:hAnsi="Times New Roman"/>
          <w:sz w:val="15"/>
          <w:szCs w:val="15"/>
          <w:color w:val="auto"/>
        </w:rPr>
        <w:t>. Upon a sale of the Company, the Company shall redeem all of the then outstanding shares of Series C and Series C Preferred Stock Post Conversion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ROI Percentage</w:t>
      </w:r>
    </w:p>
    <w:p>
      <w:pPr>
        <w:spacing w:after="0" w:line="201"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7"/>
          <w:szCs w:val="17"/>
          <w:color w:val="auto"/>
        </w:rPr>
        <w:t>200%</w:t>
        <w:tab/>
        <w:t>before the second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-113030</wp:posOffset>
            </wp:positionV>
            <wp:extent cx="6859905" cy="1257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6859905" cy="125730"/>
                    </a:xfrm>
                    <a:prstGeom prst="rect">
                      <a:avLst/>
                    </a:prstGeom>
                    <a:noFill/>
                  </pic:spPr>
                </pic:pic>
              </a:graphicData>
            </a:graphic>
          </wp:anchor>
        </w:drawing>
      </w:r>
    </w:p>
    <w:p>
      <w:pPr>
        <w:ind w:left="440"/>
        <w:spacing w:after="0"/>
        <w:tabs>
          <w:tab w:leader="none" w:pos="1080" w:val="left"/>
        </w:tabs>
        <w:rPr>
          <w:sz w:val="20"/>
          <w:szCs w:val="20"/>
          <w:color w:val="auto"/>
        </w:rPr>
      </w:pPr>
      <w:r>
        <w:rPr>
          <w:rFonts w:ascii="Times New Roman" w:cs="Times New Roman" w:eastAsia="Times New Roman" w:hAnsi="Times New Roman"/>
          <w:sz w:val="17"/>
          <w:szCs w:val="17"/>
          <w:color w:val="auto"/>
        </w:rPr>
        <w:t>250%</w:t>
        <w:tab/>
        <w:t>on or after the second anniversary of the date of issuance, but before the third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1905</wp:posOffset>
            </wp:positionV>
            <wp:extent cx="6859905" cy="1257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6859905" cy="125730"/>
                    </a:xfrm>
                    <a:prstGeom prst="rect">
                      <a:avLst/>
                    </a:prstGeom>
                    <a:noFill/>
                  </pic:spPr>
                </pic:pic>
              </a:graphicData>
            </a:graphic>
          </wp:anchor>
        </w:drawing>
      </w:r>
    </w:p>
    <w:p>
      <w:pPr>
        <w:ind w:left="440"/>
        <w:spacing w:after="0"/>
        <w:tabs>
          <w:tab w:leader="none" w:pos="1080" w:val="left"/>
        </w:tabs>
        <w:rPr>
          <w:sz w:val="20"/>
          <w:szCs w:val="20"/>
          <w:color w:val="auto"/>
        </w:rPr>
      </w:pPr>
      <w:r>
        <w:rPr>
          <w:rFonts w:ascii="Times New Roman" w:cs="Times New Roman" w:eastAsia="Times New Roman" w:hAnsi="Times New Roman"/>
          <w:sz w:val="17"/>
          <w:szCs w:val="17"/>
          <w:color w:val="auto"/>
        </w:rPr>
        <w:t>300%</w:t>
        <w:tab/>
        <w:t>on or after the third anniversary of the date of issuance, but before the fourth anniversary of the date of issuance;</w:t>
      </w:r>
    </w:p>
    <w:p>
      <w:pPr>
        <w:spacing w:after="0" w:line="3"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7"/>
          <w:szCs w:val="17"/>
          <w:color w:val="auto"/>
        </w:rPr>
        <w:t>350%</w:t>
        <w:tab/>
        <w:t>on or after the fourth anniversary of the date of issuance, but before the fifth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1905</wp:posOffset>
            </wp:positionV>
            <wp:extent cx="6859905" cy="1257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6859905" cy="125730"/>
                    </a:xfrm>
                    <a:prstGeom prst="rect">
                      <a:avLst/>
                    </a:prstGeom>
                    <a:noFill/>
                  </pic:spPr>
                </pic:pic>
              </a:graphicData>
            </a:graphic>
          </wp:anchor>
        </w:drawing>
      </w:r>
    </w:p>
    <w:p>
      <w:pPr>
        <w:ind w:left="440"/>
        <w:spacing w:after="0"/>
        <w:tabs>
          <w:tab w:leader="none" w:pos="1080" w:val="left"/>
        </w:tabs>
        <w:rPr>
          <w:sz w:val="20"/>
          <w:szCs w:val="20"/>
          <w:color w:val="auto"/>
        </w:rPr>
      </w:pPr>
      <w:r>
        <w:rPr>
          <w:rFonts w:ascii="Times New Roman" w:cs="Times New Roman" w:eastAsia="Times New Roman" w:hAnsi="Times New Roman"/>
          <w:sz w:val="17"/>
          <w:szCs w:val="17"/>
          <w:color w:val="auto"/>
        </w:rPr>
        <w:t>400%</w:t>
        <w:tab/>
        <w:t>on or after the fifth anniversary of the date of issuance, but before the sixth anniversary of the date of issuance;</w:t>
      </w:r>
    </w:p>
    <w:p>
      <w:pPr>
        <w:spacing w:after="0" w:line="3"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7"/>
          <w:szCs w:val="17"/>
          <w:color w:val="auto"/>
        </w:rPr>
        <w:t>450%</w:t>
        <w:tab/>
        <w:t>on or after the sixth anniversary of the date of issuance, but before the seventh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1905</wp:posOffset>
            </wp:positionV>
            <wp:extent cx="6859905" cy="1257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6859905" cy="125730"/>
                    </a:xfrm>
                    <a:prstGeom prst="rect">
                      <a:avLst/>
                    </a:prstGeom>
                    <a:noFill/>
                  </pic:spPr>
                </pic:pic>
              </a:graphicData>
            </a:graphic>
          </wp:anchor>
        </w:drawing>
      </w:r>
    </w:p>
    <w:p>
      <w:pPr>
        <w:ind w:left="440"/>
        <w:spacing w:after="0"/>
        <w:tabs>
          <w:tab w:leader="none" w:pos="1080" w:val="left"/>
        </w:tabs>
        <w:rPr>
          <w:sz w:val="20"/>
          <w:szCs w:val="20"/>
          <w:color w:val="auto"/>
        </w:rPr>
      </w:pPr>
      <w:r>
        <w:rPr>
          <w:rFonts w:ascii="Times New Roman" w:cs="Times New Roman" w:eastAsia="Times New Roman" w:hAnsi="Times New Roman"/>
          <w:sz w:val="17"/>
          <w:szCs w:val="17"/>
          <w:color w:val="auto"/>
        </w:rPr>
        <w:t>500%</w:t>
        <w:tab/>
        <w:t>on or after the seventh anniversary of the date of issuance, but before the eighth anniversary of the date of issuance; and</w:t>
      </w:r>
    </w:p>
    <w:p>
      <w:pPr>
        <w:spacing w:after="0" w:line="3" w:lineRule="exact"/>
        <w:rPr>
          <w:sz w:val="20"/>
          <w:szCs w:val="20"/>
          <w:color w:val="auto"/>
        </w:rPr>
      </w:pPr>
    </w:p>
    <w:p>
      <w:pPr>
        <w:ind w:left="440"/>
        <w:spacing w:after="0"/>
        <w:tabs>
          <w:tab w:leader="none" w:pos="1080" w:val="left"/>
        </w:tabs>
        <w:rPr>
          <w:sz w:val="20"/>
          <w:szCs w:val="20"/>
          <w:color w:val="auto"/>
        </w:rPr>
      </w:pPr>
      <w:r>
        <w:rPr>
          <w:rFonts w:ascii="Times New Roman" w:cs="Times New Roman" w:eastAsia="Times New Roman" w:hAnsi="Times New Roman"/>
          <w:sz w:val="17"/>
          <w:szCs w:val="17"/>
          <w:color w:val="auto"/>
        </w:rPr>
        <w:t>550%</w:t>
        <w:tab/>
        <w:t>on or after the eighth anniversary of the date of issuance, but before the ninth anniversary of the date of issuance.</w:t>
      </w:r>
    </w:p>
    <w:p>
      <w:pPr>
        <w:spacing w:after="0" w:line="185" w:lineRule="exact"/>
        <w:rPr>
          <w:sz w:val="20"/>
          <w:szCs w:val="20"/>
          <w:color w:val="auto"/>
        </w:rPr>
      </w:pPr>
    </w:p>
    <w:p>
      <w:pPr>
        <w:ind w:left="400" w:right="580"/>
        <w:spacing w:after="0" w:line="267" w:lineRule="auto"/>
        <w:rPr>
          <w:sz w:val="20"/>
          <w:szCs w:val="20"/>
          <w:color w:val="auto"/>
        </w:rPr>
      </w:pPr>
      <w:r>
        <w:rPr>
          <w:rFonts w:ascii="Times New Roman" w:cs="Times New Roman" w:eastAsia="Times New Roman" w:hAnsi="Times New Roman"/>
          <w:sz w:val="17"/>
          <w:szCs w:val="17"/>
          <w:color w:val="auto"/>
        </w:rPr>
        <w:t>Due to the redemption feature, the Company has presented the Series C outside of permanent equity, in the mezzanine of the consolidated balance sheets at December 31, 2024 and 2023. At December 31, 2024, the Series C redemption value was $8,018,000.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 w:type="dxa"/>
            <w:vAlign w:val="bottom"/>
          </w:tcPr>
          <w:p>
            <w:pPr>
              <w:spacing w:after="0"/>
              <w:rPr>
                <w:sz w:val="18"/>
                <w:szCs w:val="18"/>
                <w:color w:val="auto"/>
              </w:rPr>
            </w:pPr>
          </w:p>
        </w:tc>
        <w:tc>
          <w:tcPr>
            <w:tcW w:w="838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The Series C shares have no voting rights.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26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8"/>
              </w:rPr>
              <w:t>8.</w:t>
            </w:r>
          </w:p>
        </w:tc>
        <w:tc>
          <w:tcPr>
            <w:tcW w:w="180" w:type="dxa"/>
            <w:vAlign w:val="bottom"/>
          </w:tcPr>
          <w:p>
            <w:pPr>
              <w:spacing w:after="0"/>
              <w:rPr>
                <w:sz w:val="24"/>
                <w:szCs w:val="24"/>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7"/>
        </w:trPr>
        <w:tc>
          <w:tcPr>
            <w:tcW w:w="260" w:type="dxa"/>
            <w:vAlign w:val="bottom"/>
          </w:tcPr>
          <w:p>
            <w:pPr>
              <w:spacing w:after="0"/>
              <w:rPr>
                <w:sz w:val="24"/>
                <w:szCs w:val="24"/>
                <w:color w:val="auto"/>
              </w:rPr>
            </w:pPr>
          </w:p>
        </w:tc>
        <w:tc>
          <w:tcPr>
            <w:tcW w:w="83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Warrant activity is summarized as follows: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6"/>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Weighted average</w:t>
            </w:r>
          </w:p>
        </w:tc>
      </w:tr>
      <w:tr>
        <w:trPr>
          <w:trHeight w:val="224"/>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10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00" w:type="dxa"/>
            <w:vAlign w:val="bottom"/>
          </w:tcPr>
          <w:p>
            <w:pPr>
              <w:spacing w:after="0"/>
              <w:rPr>
                <w:sz w:val="19"/>
                <w:szCs w:val="19"/>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11,557,964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4.37</w:t>
            </w: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3.09</w:t>
            </w: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(2,236,204)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4.49</w:t>
            </w: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Canceled/Expired</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(665,267)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4.94</w:t>
            </w: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9,256,493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87"/>
              </w:rPr>
              <w:t>4.22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3.70</w:t>
            </w:r>
          </w:p>
        </w:tc>
      </w:tr>
      <w:tr>
        <w:trPr>
          <w:trHeight w:val="198"/>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(142,503)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3.00</w:t>
            </w: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Canceled/Expired</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(118,050)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4.33</w:t>
            </w:r>
          </w:p>
        </w:tc>
      </w:tr>
      <w:tr>
        <w:trPr>
          <w:trHeight w:val="238"/>
        </w:trPr>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9,595,940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87"/>
              </w:rPr>
              <w:t>4.21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3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weighted average expiration of the warrants outstanding as of December 31, 2024 is 2.2 years.</w:t>
      </w:r>
    </w:p>
    <w:p>
      <w:pPr>
        <w:spacing w:after="0" w:line="201" w:lineRule="exact"/>
        <w:rPr>
          <w:sz w:val="20"/>
          <w:szCs w:val="20"/>
          <w:color w:val="auto"/>
        </w:rPr>
      </w:pPr>
    </w:p>
    <w:p>
      <w:pPr>
        <w:ind w:left="400"/>
        <w:spacing w:after="0" w:line="248" w:lineRule="auto"/>
        <w:rPr>
          <w:sz w:val="20"/>
          <w:szCs w:val="20"/>
          <w:color w:val="auto"/>
        </w:rPr>
      </w:pPr>
      <w:r>
        <w:rPr>
          <w:rFonts w:ascii="Times New Roman" w:cs="Times New Roman" w:eastAsia="Times New Roman" w:hAnsi="Times New Roman"/>
          <w:sz w:val="17"/>
          <w:szCs w:val="17"/>
          <w:color w:val="auto"/>
        </w:rPr>
        <w:t>On September 22, 2023, the Company executed an agreement with 10X Fund L.P., and 10X Capital Management LLC (which had been a related party due to having nominated a board member) whereby the Company extended the exercise date for a total of 5,732,253 common stock purchase warrants to the earliest of (a) September 30, 2026, (b) thirty days after 10X fails to vote all of the shares of common stock in the Company then owned by it in the manner recommended by the board of directors of the Company in any vote of the stockholders of the Company; or (c) thirty days after the shares of common stock of the Company have a closing price of $6.00 or greater for 10 consecutive trading days. Previously, the common stock purchase warrants exercise dates would have expired at various dates from September 22, 2023 through May 10, 2025.</w:t>
      </w:r>
    </w:p>
    <w:p>
      <w:pPr>
        <w:spacing w:after="0" w:line="177" w:lineRule="exact"/>
        <w:rPr>
          <w:sz w:val="20"/>
          <w:szCs w:val="20"/>
          <w:color w:val="auto"/>
        </w:rPr>
      </w:pPr>
    </w:p>
    <w:p>
      <w:pPr>
        <w:ind w:left="400" w:right="180"/>
        <w:spacing w:after="0" w:line="251" w:lineRule="auto"/>
        <w:rPr>
          <w:sz w:val="20"/>
          <w:szCs w:val="20"/>
          <w:color w:val="auto"/>
        </w:rPr>
      </w:pPr>
      <w:r>
        <w:rPr>
          <w:rFonts w:ascii="Times New Roman" w:cs="Times New Roman" w:eastAsia="Times New Roman" w:hAnsi="Times New Roman"/>
          <w:sz w:val="17"/>
          <w:szCs w:val="17"/>
          <w:color w:val="auto"/>
        </w:rPr>
        <w:t>Also pursuant to the terms of the agreement, the right of the 10X Fund L.P. to nominate a member of the board of directors was eliminated, and the cashless exercise option in certain of the common stock purchase warrants was deleted. Finally, a beneficial ownership limitation provision was added in the Series B Warrants, which would have the effect of decreasing 10X Fund’s beneficial ownership to 9.99% and would bar the voluntary exercise of any warrants that would result in 10X Fund’s ownership beyond 9.99% without at least 61 days’ prior notice from 10X Fund.</w:t>
      </w:r>
    </w:p>
    <w:p>
      <w:pPr>
        <w:spacing w:after="0" w:line="174" w:lineRule="exact"/>
        <w:rPr>
          <w:sz w:val="20"/>
          <w:szCs w:val="20"/>
          <w:color w:val="auto"/>
        </w:rPr>
      </w:pPr>
    </w:p>
    <w:p>
      <w:pPr>
        <w:ind w:left="400" w:right="40"/>
        <w:spacing w:after="0" w:line="248" w:lineRule="auto"/>
        <w:rPr>
          <w:sz w:val="20"/>
          <w:szCs w:val="20"/>
          <w:color w:val="auto"/>
        </w:rPr>
      </w:pPr>
      <w:r>
        <w:rPr>
          <w:rFonts w:ascii="Times New Roman" w:cs="Times New Roman" w:eastAsia="Times New Roman" w:hAnsi="Times New Roman"/>
          <w:sz w:val="17"/>
          <w:szCs w:val="17"/>
          <w:color w:val="auto"/>
        </w:rPr>
        <w:t>The Company has accounted for the modified terms of the warrants pursuant to ASC 815, Derivatives and Hedging, whereby the Company has recognized a deemed dividend for the change in fair value of the warrants immediately before and immediately after the modification. In September 2023, the Company recognized a non cash deemed dividend of $3,619,000 related to the extension of the 5,732,253 warrants. The following assumptions were used to value the extension of the warrants immediately before and immediately after the modification: a) immediately before the modification — an expected life range of 0 to 1.63 years, volatility range of 71% to 77%%, risk free interest rate range of 5.37% and zero dividends and; b) immediately following the modification — an expected life of 3 years, volatility of 79%, risk free interest rate range of 4.59% and zero dividends.</w:t>
      </w:r>
    </w:p>
    <w:p>
      <w:pPr>
        <w:sectPr>
          <w:pgSz w:w="11900" w:h="16838" w:orient="portrait"/>
          <w:cols w:equalWidth="0" w:num="1">
            <w:col w:w="11240"/>
          </w:cols>
          <w:pgMar w:left="320" w:top="115" w:right="339"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75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400" w:right="540"/>
        <w:spacing w:after="0" w:line="267" w:lineRule="auto"/>
        <w:rPr>
          <w:sz w:val="20"/>
          <w:szCs w:val="20"/>
          <w:color w:val="auto"/>
        </w:rPr>
      </w:pPr>
      <w:r>
        <w:rPr>
          <w:rFonts w:ascii="Times New Roman" w:cs="Times New Roman" w:eastAsia="Times New Roman" w:hAnsi="Times New Roman"/>
          <w:sz w:val="17"/>
          <w:szCs w:val="17"/>
          <w:color w:val="auto"/>
        </w:rPr>
        <w:t>The following table summarizes information with regard to outstanding warrants issued in connection with equity and debt financings and consultants as of December 31, 2024.</w:t>
      </w:r>
    </w:p>
    <w:p>
      <w:pPr>
        <w:sectPr>
          <w:pgSz w:w="11900" w:h="16838" w:orient="portrait"/>
          <w:cols w:equalWidth="0" w:num="1">
            <w:col w:w="11240"/>
          </w:cols>
          <w:pgMar w:left="320" w:top="116" w:right="339" w:bottom="1440" w:gutter="0" w:footer="0" w:header="0"/>
        </w:sectPr>
      </w:pPr>
    </w:p>
    <w:p>
      <w:pPr>
        <w:spacing w:after="0" w:line="156" w:lineRule="exact"/>
        <w:rPr>
          <w:sz w:val="20"/>
          <w:szCs w:val="20"/>
          <w:color w:val="auto"/>
        </w:rPr>
      </w:pPr>
    </w:p>
    <w:tbl>
      <w:tblPr>
        <w:tblLayout w:type="fixed"/>
        <w:tblInd w:w="440" w:type="dxa"/>
        <w:tblCellMar>
          <w:top w:w="0" w:type="dxa"/>
          <w:left w:w="0" w:type="dxa"/>
          <w:bottom w:w="0" w:type="dxa"/>
          <w:right w:w="0" w:type="dxa"/>
        </w:tblCellMar>
      </w:tblPr>
      <w:tr>
        <w:trPr>
          <w:trHeight w:val="198"/>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60" w:type="dxa"/>
            <w:vAlign w:val="bottom"/>
          </w:tcPr>
          <w:p>
            <w:pPr>
              <w:spacing w:after="0"/>
              <w:rPr>
                <w:sz w:val="17"/>
                <w:szCs w:val="17"/>
                <w:color w:val="auto"/>
              </w:rPr>
            </w:pP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Exercise</w:t>
            </w:r>
          </w:p>
        </w:tc>
      </w:tr>
      <w:tr>
        <w:trPr>
          <w:trHeight w:val="224"/>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Issued in Connection With</w:t>
            </w: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Outstanding</w:t>
            </w:r>
          </w:p>
        </w:tc>
        <w:tc>
          <w:tcPr>
            <w:tcW w:w="160" w:type="dxa"/>
            <w:vAlign w:val="bottom"/>
          </w:tcPr>
          <w:p>
            <w:pPr>
              <w:spacing w:after="0"/>
              <w:rPr>
                <w:sz w:val="19"/>
                <w:szCs w:val="19"/>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182"/>
        </w:trPr>
        <w:tc>
          <w:tcPr>
            <w:tcW w:w="27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February 12, 2009 Series B-1</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Transaction $3.00 Investor Warrants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May 13, 2009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525,119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June 30, 2009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306,547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w w:val="99"/>
              </w:rPr>
              <w:t>August 12, 2009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183,928</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September 30, 2009 Series B-2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Transaction $3.00 Investor Warrants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195,922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November 4, 2009 Series B-2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Transaction $3.00 Investor Warrants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85,463</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December 8, 2009 Series B-2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Transaction $3.00 Investor Warrants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110,919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w w:val="98"/>
              </w:rPr>
              <w:t>January 29, 2010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198,664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w w:val="98"/>
              </w:rPr>
              <w:t>January 29, 2010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18,003</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March 8, 2010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184,132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March 8, 2010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39,202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April 30, 2010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180,689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April 30, 2010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23,503</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May 10, 2010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112,631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May 10, 2010 Series B-2 Transaction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30,535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September 22, 2016 Series B-3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Transaction $3.00 Investor Warrants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682,572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September 29, 2016 Series B-3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Transaction $3.00 Investor Warrants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843,351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December 23, 2016 Series B-3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Transaction $3.00 Investor Warrants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922,316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2018 and 2017 Warrants issued for</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May 23, 2019 Rights Offering warrants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2,622,154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July 22, 2022 Warrants issued in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connection with related party line of</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credit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330,000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December 29, 2023 Warrants issued for</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draw on related party line of credit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March 29, 2024 Warrants issued for</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draw on related party line of credit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June 28, 2024 Warrants issued for draw</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on related party line of credit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w w:val="99"/>
              </w:rPr>
              <w:t>September 30, 2024 Warrants issued for</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draw on related party line of credit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Total Outstanding Warrants</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9,595,940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318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7"/>
                <w:szCs w:val="17"/>
                <w:b w:val="1"/>
                <w:bCs w:val="1"/>
                <w:color w:val="auto"/>
              </w:rPr>
              <w:t>Exercisable Date</w:t>
            </w:r>
          </w:p>
        </w:tc>
        <w:tc>
          <w:tcPr>
            <w:tcW w:w="23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7"/>
                <w:szCs w:val="17"/>
                <w:b w:val="1"/>
                <w:bCs w:val="1"/>
                <w:color w:val="auto"/>
              </w:rPr>
              <w:t>Expiration Date</w:t>
            </w:r>
          </w:p>
        </w:tc>
      </w:tr>
      <w:tr>
        <w:trPr>
          <w:trHeight w:val="596"/>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February 12, 2009</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May 13, 2009</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June 30, 2009</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August 12, 2009</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595"/>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September 30, 2009</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595"/>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November 4, 2009</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595"/>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December 8, 2009</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January 29, 2010</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January 29, 2010</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January 29, 2025</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March 8, 2010</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March 8, 2010</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8, 2025</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April 30, 2010</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April 30, 2010</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30, 2025</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May 10, 2010</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May 10, 2010</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 10, 2025</w:t>
            </w:r>
          </w:p>
        </w:tc>
      </w:tr>
      <w:tr>
        <w:trPr>
          <w:trHeight w:val="595"/>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September 22, 2016</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595"/>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September 29, 2016</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578"/>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December 23, 2016</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September 30, 2026</w:t>
            </w:r>
          </w:p>
        </w:tc>
      </w:tr>
      <w:tr>
        <w:trPr>
          <w:trHeight w:val="198"/>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Various dates in 2017</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Various dates in</w:t>
            </w:r>
          </w:p>
        </w:tc>
      </w:tr>
      <w:tr>
        <w:trPr>
          <w:trHeight w:val="198"/>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and 2018</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r>
      <w:tr>
        <w:trPr>
          <w:trHeight w:val="215"/>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May 23, 2019</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 23, 2026</w:t>
            </w:r>
          </w:p>
        </w:tc>
      </w:tr>
      <w:tr>
        <w:trPr>
          <w:trHeight w:val="595"/>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July 22, 2022</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31, 2029</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December 29, 2023</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31, 2029</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March 29,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31, 2029</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June 29,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31, 2029</w:t>
            </w:r>
          </w:p>
        </w:tc>
      </w:tr>
      <w:tr>
        <w:trPr>
          <w:trHeight w:val="397"/>
        </w:trPr>
        <w:tc>
          <w:tcPr>
            <w:tcW w:w="318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September 30,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July 31,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-7182485</wp:posOffset>
            </wp:positionV>
            <wp:extent cx="6859905" cy="3778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6859905" cy="37782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-6552565</wp:posOffset>
            </wp:positionV>
            <wp:extent cx="6859905" cy="2520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6859905" cy="25209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-6048375</wp:posOffset>
            </wp:positionV>
            <wp:extent cx="6859905" cy="3778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6859905" cy="37782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-5292090</wp:posOffset>
            </wp:positionV>
            <wp:extent cx="6859905" cy="3778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6859905" cy="37782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-4662170</wp:posOffset>
            </wp:positionV>
            <wp:extent cx="6859905" cy="252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6859905" cy="25209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-4157980</wp:posOffset>
            </wp:positionV>
            <wp:extent cx="6859905" cy="2520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6859905" cy="25209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-3653790</wp:posOffset>
            </wp:positionV>
            <wp:extent cx="6859905" cy="2520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6859905" cy="25209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-3150235</wp:posOffset>
            </wp:positionV>
            <wp:extent cx="6859905" cy="2520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6859905" cy="25209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-2519680</wp:posOffset>
            </wp:positionV>
            <wp:extent cx="6859905" cy="3778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6859905" cy="37782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-1764030</wp:posOffset>
            </wp:positionV>
            <wp:extent cx="6859905" cy="2520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6859905" cy="25209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-1385570</wp:posOffset>
            </wp:positionV>
            <wp:extent cx="6859905" cy="3778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6859905" cy="37782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-755650</wp:posOffset>
            </wp:positionV>
            <wp:extent cx="6859905" cy="2520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6859905" cy="25209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-251460</wp:posOffset>
            </wp:positionV>
            <wp:extent cx="6859905" cy="267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6859905" cy="267970"/>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2">
            <w:col w:w="5640" w:space="100"/>
            <w:col w:w="5500"/>
          </w:cols>
          <w:pgMar w:left="320" w:top="116" w:right="339" w:bottom="1440" w:gutter="0" w:footer="0" w:header="0"/>
          <w:type w:val="continuous"/>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75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2" w:name="page73"/>
    <w:bookmarkEnd w:id="72"/>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401" w:hanging="401"/>
        <w:spacing w:after="0"/>
        <w:tabs>
          <w:tab w:leader="none" w:pos="401"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201" w:lineRule="exact"/>
        <w:rPr>
          <w:sz w:val="20"/>
          <w:szCs w:val="20"/>
          <w:color w:val="auto"/>
        </w:rPr>
      </w:pPr>
    </w:p>
    <w:p>
      <w:pPr>
        <w:ind w:left="201"/>
        <w:spacing w:after="0"/>
        <w:rPr>
          <w:sz w:val="20"/>
          <w:szCs w:val="20"/>
          <w:color w:val="auto"/>
        </w:rPr>
      </w:pPr>
      <w:r>
        <w:rPr>
          <w:rFonts w:ascii="Times New Roman" w:cs="Times New Roman" w:eastAsia="Times New Roman" w:hAnsi="Times New Roman"/>
          <w:sz w:val="17"/>
          <w:szCs w:val="17"/>
          <w:b w:val="1"/>
          <w:bCs w:val="1"/>
          <w:i w:val="1"/>
          <w:iCs w:val="1"/>
          <w:color w:val="auto"/>
        </w:rPr>
        <w:t>Summary of Stock-Based Compensation Plans</w:t>
      </w:r>
    </w:p>
    <w:p>
      <w:pPr>
        <w:spacing w:after="0" w:line="205" w:lineRule="exact"/>
        <w:rPr>
          <w:sz w:val="20"/>
          <w:szCs w:val="20"/>
          <w:color w:val="auto"/>
        </w:rPr>
      </w:pPr>
    </w:p>
    <w:p>
      <w:pPr>
        <w:ind w:left="401" w:right="20"/>
        <w:spacing w:after="0" w:line="246" w:lineRule="auto"/>
        <w:rPr>
          <w:sz w:val="20"/>
          <w:szCs w:val="20"/>
          <w:color w:val="auto"/>
        </w:rPr>
      </w:pPr>
      <w:r>
        <w:rPr>
          <w:rFonts w:ascii="Times New Roman" w:cs="Times New Roman" w:eastAsia="Times New Roman" w:hAnsi="Times New Roman"/>
          <w:sz w:val="17"/>
          <w:szCs w:val="17"/>
          <w:color w:val="auto"/>
        </w:rPr>
        <w:t>At December 31, 2024, the Company has a stock-based compensation plan where the Company’s common stock has been made available for equity-based incentive grants as part of the Company’s compensation programs. In December 2019, the Company adopted the 2019 Omnibus Equity Incentive Plan (the “2019 Plan”) which provided originally for the issuance of up to 4,000,000 shares of the Company’s common stock, subsequently increased to 7,000,000 in December 2021, and increased to 10,000,000 in December 2023 in the form of options, stock appreciation rights, restricted stock and other stock-based awards to employees, officers, directors, consultants and other eligible persons. At December 31, 2024, 4,135,213 shares were available for future grant under the 2019 Plan. Also, the Company previously had the 2009 Incentive Compensation Plan (the “2009 Plan”) which, after amendments, provided for issuance of up to 6,733,334 shares of the Company’s common stock in the form of options, stock appreciation rights, restricted stock and other stock-based awards to employees, officers, directors, consultants and other eligible persons. Provisions of the 2009 Plan stipulated that no grants could be made after February 2019; however, grants made prior to that date remain outstanding for their legal term.</w:t>
      </w:r>
    </w:p>
    <w:p>
      <w:pPr>
        <w:spacing w:after="0" w:line="177" w:lineRule="exact"/>
        <w:rPr>
          <w:sz w:val="20"/>
          <w:szCs w:val="20"/>
          <w:color w:val="auto"/>
        </w:rPr>
      </w:pPr>
    </w:p>
    <w:p>
      <w:pPr>
        <w:ind w:left="201"/>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05"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Following is the stock-based compensation expense related to common stock options, restricted common stock, common stock warrants and deferred stock units:</w:t>
      </w:r>
    </w:p>
    <w:p>
      <w:pPr>
        <w:spacing w:after="0" w:line="220" w:lineRule="exact"/>
        <w:rPr>
          <w:sz w:val="20"/>
          <w:szCs w:val="20"/>
          <w:color w:val="auto"/>
        </w:rPr>
      </w:pPr>
    </w:p>
    <w:tbl>
      <w:tblPr>
        <w:tblLayout w:type="fixed"/>
        <w:tblInd w:w="441" w:type="dxa"/>
        <w:tblCellMar>
          <w:top w:w="0" w:type="dxa"/>
          <w:left w:w="0" w:type="dxa"/>
          <w:bottom w:w="0" w:type="dxa"/>
          <w:right w:w="0" w:type="dxa"/>
        </w:tblCellMar>
      </w:tblPr>
      <w:tr>
        <w:trPr>
          <w:trHeight w:val="198"/>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8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7"/>
                <w:szCs w:val="17"/>
                <w:color w:val="auto"/>
              </w:rPr>
            </w:pPr>
          </w:p>
        </w:tc>
      </w:tr>
      <w:tr>
        <w:trPr>
          <w:trHeight w:val="198"/>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1,432</w:t>
            </w:r>
          </w:p>
        </w:tc>
      </w:tr>
      <w:tr>
        <w:trPr>
          <w:trHeight w:val="238"/>
        </w:trPr>
        <w:tc>
          <w:tcPr>
            <w:tcW w:w="8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2"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The fair value of the options granted is determined using the Black-Scholes option-pricing model. The following weighted average assumptions were used:</w:t>
      </w:r>
    </w:p>
    <w:p>
      <w:pPr>
        <w:spacing w:after="0" w:line="197" w:lineRule="exact"/>
        <w:rPr>
          <w:sz w:val="20"/>
          <w:szCs w:val="20"/>
          <w:color w:val="auto"/>
        </w:rPr>
      </w:pPr>
    </w:p>
    <w:tbl>
      <w:tblPr>
        <w:tblLayout w:type="fixed"/>
        <w:tblInd w:w="441" w:type="dxa"/>
        <w:tblCellMar>
          <w:top w:w="0" w:type="dxa"/>
          <w:left w:w="0" w:type="dxa"/>
          <w:bottom w:w="0" w:type="dxa"/>
          <w:right w:w="0" w:type="dxa"/>
        </w:tblCellMar>
      </w:tblPr>
      <w:tr>
        <w:trPr>
          <w:trHeight w:val="224"/>
        </w:trPr>
        <w:tc>
          <w:tcPr>
            <w:tcW w:w="8280" w:type="dxa"/>
            <w:vAlign w:val="bottom"/>
          </w:tcPr>
          <w:p>
            <w:pPr>
              <w:spacing w:after="0"/>
              <w:rPr>
                <w:sz w:val="19"/>
                <w:szCs w:val="19"/>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r>
      <w:tr>
        <w:trPr>
          <w:trHeight w:val="198"/>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198"/>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 of the options</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5.4 years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5.7 years</w:t>
            </w:r>
          </w:p>
        </w:tc>
      </w:tr>
      <w:tr>
        <w:trPr>
          <w:trHeight w:val="198"/>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 of the underlying stock</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75.1%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w:t>
            </w:r>
          </w:p>
        </w:tc>
      </w:tr>
      <w:tr>
        <w:trPr>
          <w:trHeight w:val="215"/>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165" w:lineRule="exact"/>
        <w:rPr>
          <w:sz w:val="20"/>
          <w:szCs w:val="20"/>
          <w:color w:val="auto"/>
        </w:rPr>
      </w:pPr>
    </w:p>
    <w:p>
      <w:pPr>
        <w:ind w:left="401" w:right="20"/>
        <w:spacing w:after="0" w:line="247" w:lineRule="auto"/>
        <w:rPr>
          <w:sz w:val="20"/>
          <w:szCs w:val="20"/>
          <w:color w:val="auto"/>
        </w:rPr>
      </w:pPr>
      <w:r>
        <w:rPr>
          <w:rFonts w:ascii="Times New Roman" w:cs="Times New Roman" w:eastAsia="Times New Roman" w:hAnsi="Times New Roman"/>
          <w:sz w:val="17"/>
          <w:szCs w:val="17"/>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on common stock in the foreseeable future. At December 31, 2024, the Company does not anticipate any option awards will be forfeited in the calculation of compensation expense due to the limited number of employees that receive stock option grants and the Company’s historical employee turnover; however, any forfeitures will be accounted for as incurred.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stock option activity in the stock-based compensation plans:</w:t>
      </w:r>
    </w:p>
    <w:p>
      <w:pPr>
        <w:spacing w:after="0" w:line="396" w:lineRule="exact"/>
        <w:rPr>
          <w:sz w:val="20"/>
          <w:szCs w:val="20"/>
          <w:color w:val="auto"/>
        </w:rPr>
      </w:pPr>
    </w:p>
    <w:tbl>
      <w:tblPr>
        <w:tblLayout w:type="fixed"/>
        <w:tblInd w:w="440" w:type="dxa"/>
        <w:tblCellMar>
          <w:top w:w="0" w:type="dxa"/>
          <w:left w:w="0" w:type="dxa"/>
          <w:bottom w:w="0" w:type="dxa"/>
          <w:right w:w="0" w:type="dxa"/>
        </w:tblCellMar>
      </w:tblPr>
      <w:tr>
        <w:trPr>
          <w:trHeight w:val="198"/>
        </w:trPr>
        <w:tc>
          <w:tcPr>
            <w:tcW w:w="5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Average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Remaining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2"/>
              </w:rPr>
              <w:t>Average</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Contractual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Aggregate</w:t>
            </w:r>
          </w:p>
        </w:tc>
      </w:tr>
      <w:tr>
        <w:trPr>
          <w:trHeight w:val="198"/>
        </w:trPr>
        <w:tc>
          <w:tcPr>
            <w:tcW w:w="58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20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5"/>
              </w:rPr>
              <w:t>Intrinsic Value</w:t>
            </w:r>
          </w:p>
        </w:tc>
      </w:tr>
      <w:tr>
        <w:trPr>
          <w:trHeight w:val="224"/>
        </w:trPr>
        <w:tc>
          <w:tcPr>
            <w:tcW w:w="586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Price</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years)</w:t>
            </w:r>
          </w:p>
        </w:tc>
        <w:tc>
          <w:tcPr>
            <w:tcW w:w="200" w:type="dxa"/>
            <w:vAlign w:val="bottom"/>
          </w:tcPr>
          <w:p>
            <w:pPr>
              <w:spacing w:after="0"/>
              <w:rPr>
                <w:sz w:val="19"/>
                <w:szCs w:val="19"/>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6"/>
              </w:rPr>
              <w:t>(in thousands)</w:t>
            </w:r>
          </w:p>
        </w:tc>
      </w:tr>
      <w:tr>
        <w:trPr>
          <w:trHeight w:val="198"/>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5,745,561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87"/>
              </w:rPr>
              <w:t>2.90</w:t>
            </w:r>
          </w:p>
        </w:tc>
        <w:tc>
          <w:tcPr>
            <w:tcW w:w="20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1.18</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Forfeited/Cancelled</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(436,720)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2.23</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6,333,841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87"/>
              </w:rPr>
              <w:t>2.66</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1.86</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Forfeited/Cancelled</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(348,750)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6.35</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(503,333)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1.71</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December 31,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6,854,758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87"/>
              </w:rPr>
              <w:t>2.39</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5"/>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Exercisable, December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6,138,254</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2.45</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176</w:t>
            </w:r>
          </w:p>
        </w:tc>
      </w:tr>
    </w:tbl>
    <w:p>
      <w:pPr>
        <w:spacing w:after="0" w:line="165" w:lineRule="exact"/>
        <w:rPr>
          <w:sz w:val="20"/>
          <w:szCs w:val="20"/>
          <w:color w:val="auto"/>
        </w:rPr>
      </w:pPr>
    </w:p>
    <w:p>
      <w:pPr>
        <w:ind w:left="400" w:right="160"/>
        <w:spacing w:after="0" w:line="255"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2024, based on the closing price of the Company’s common stock of $1.29 on that date.</w:t>
      </w:r>
    </w:p>
    <w:p>
      <w:pPr>
        <w:spacing w:after="0" w:line="171" w:lineRule="exact"/>
        <w:rPr>
          <w:sz w:val="20"/>
          <w:szCs w:val="20"/>
          <w:color w:val="auto"/>
        </w:rPr>
      </w:pPr>
    </w:p>
    <w:p>
      <w:pPr>
        <w:ind w:left="400" w:right="200"/>
        <w:spacing w:after="0" w:line="255" w:lineRule="auto"/>
        <w:rPr>
          <w:sz w:val="20"/>
          <w:szCs w:val="20"/>
          <w:color w:val="auto"/>
        </w:rPr>
      </w:pPr>
      <w:r>
        <w:rPr>
          <w:rFonts w:ascii="Times New Roman" w:cs="Times New Roman" w:eastAsia="Times New Roman" w:hAnsi="Times New Roman"/>
          <w:sz w:val="17"/>
          <w:szCs w:val="17"/>
          <w:color w:val="auto"/>
        </w:rPr>
        <w:t>The weighted-average grant-date fair values of options granted during 2024 and 2023 were $1.26 and $0.85, respectively. As of December 31, 2024 and 2023, there were unvested options to purchase 716,504 and 1,792,080 shares of common stock, respectively. Total expected unrecognized compensation cost related to such unvested options is $775,000 at December 31, 2024, which is expected to be recognized over a weighted-average period of 1.0 years.</w:t>
      </w:r>
    </w:p>
    <w:p>
      <w:pPr>
        <w:spacing w:after="0" w:line="171" w:lineRule="exact"/>
        <w:rPr>
          <w:sz w:val="20"/>
          <w:szCs w:val="20"/>
          <w:color w:val="auto"/>
        </w:rPr>
      </w:pPr>
    </w:p>
    <w:p>
      <w:pPr>
        <w:ind w:left="400" w:right="420"/>
        <w:spacing w:after="0" w:line="267" w:lineRule="auto"/>
        <w:rPr>
          <w:sz w:val="20"/>
          <w:szCs w:val="20"/>
          <w:color w:val="auto"/>
        </w:rPr>
      </w:pPr>
      <w:r>
        <w:rPr>
          <w:rFonts w:ascii="Times New Roman" w:cs="Times New Roman" w:eastAsia="Times New Roman" w:hAnsi="Times New Roman"/>
          <w:sz w:val="17"/>
          <w:szCs w:val="17"/>
          <w:color w:val="auto"/>
        </w:rPr>
        <w:t>During the years ended December 31, 2024 and 2023, 1,966,167 and 1,119,168 options became vested, respectively. The total grant date fair value of options vested during the years ended December 31, 2024 and 2023 was $2,772,748 and $1,384,284, respectively.</w:t>
      </w:r>
    </w:p>
    <w:p>
      <w:pPr>
        <w:spacing w:after="0" w:line="160" w:lineRule="exact"/>
        <w:rPr>
          <w:sz w:val="20"/>
          <w:szCs w:val="20"/>
          <w:color w:val="auto"/>
        </w:rPr>
      </w:pPr>
    </w:p>
    <w:p>
      <w:pPr>
        <w:ind w:left="400" w:right="120"/>
        <w:spacing w:after="0" w:line="267" w:lineRule="auto"/>
        <w:rPr>
          <w:sz w:val="20"/>
          <w:szCs w:val="20"/>
          <w:color w:val="auto"/>
        </w:rPr>
      </w:pPr>
      <w:r>
        <w:rPr>
          <w:rFonts w:ascii="Times New Roman" w:cs="Times New Roman" w:eastAsia="Times New Roman" w:hAnsi="Times New Roman"/>
          <w:sz w:val="17"/>
          <w:szCs w:val="17"/>
          <w:color w:val="auto"/>
        </w:rPr>
        <w:t>The following table summarizes additional information regarding outstanding and exercisable options under our stock-based compensation plans at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Options Outstanding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6"/>
          </w:tcPr>
          <w:p>
            <w:pPr>
              <w:ind w:left="460"/>
              <w:spacing w:after="0"/>
              <w:rPr>
                <w:sz w:val="20"/>
                <w:szCs w:val="20"/>
                <w:color w:val="auto"/>
              </w:rPr>
            </w:pPr>
            <w:r>
              <w:rPr>
                <w:rFonts w:ascii="Times New Roman" w:cs="Times New Roman" w:eastAsia="Times New Roman" w:hAnsi="Times New Roman"/>
                <w:sz w:val="17"/>
                <w:szCs w:val="17"/>
                <w:b w:val="1"/>
                <w:bCs w:val="1"/>
                <w:color w:val="auto"/>
              </w:rPr>
              <w:t>Options Exercisable</w:t>
            </w:r>
          </w:p>
        </w:tc>
      </w:tr>
      <w:tr>
        <w:trPr>
          <w:trHeight w:val="178"/>
        </w:trPr>
        <w:tc>
          <w:tcPr>
            <w:tcW w:w="4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200"/>
              <w:spacing w:after="0" w:line="178" w:lineRule="exact"/>
              <w:rPr>
                <w:sz w:val="20"/>
                <w:szCs w:val="20"/>
                <w:color w:val="auto"/>
              </w:rPr>
            </w:pPr>
            <w:r>
              <w:rPr>
                <w:rFonts w:ascii="Times New Roman" w:cs="Times New Roman" w:eastAsia="Times New Roman" w:hAnsi="Times New Roman"/>
                <w:sz w:val="17"/>
                <w:szCs w:val="17"/>
                <w:b w:val="1"/>
                <w:bCs w:val="1"/>
                <w:color w:val="auto"/>
                <w:w w:val="94"/>
              </w:rPr>
              <w:t>Weighted</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4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198"/>
        </w:trPr>
        <w:tc>
          <w:tcPr>
            <w:tcW w:w="4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2"/>
              </w:rPr>
              <w:t>Average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198"/>
        </w:trPr>
        <w:tc>
          <w:tcPr>
            <w:tcW w:w="44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Contractual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Exercise</w:t>
            </w:r>
          </w:p>
        </w:tc>
      </w:tr>
      <w:tr>
        <w:trPr>
          <w:trHeight w:val="224"/>
        </w:trPr>
        <w:tc>
          <w:tcPr>
            <w:tcW w:w="4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Price (Range)</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3"/>
              </w:rPr>
              <w:t>Shares</w:t>
            </w:r>
          </w:p>
        </w:tc>
        <w:tc>
          <w:tcPr>
            <w:tcW w:w="20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Price</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Price</w:t>
            </w:r>
          </w:p>
        </w:tc>
      </w:tr>
      <w:tr>
        <w:trPr>
          <w:trHeight w:val="198"/>
        </w:trPr>
        <w:tc>
          <w:tcPr>
            <w:tcW w:w="440" w:type="dxa"/>
            <w:vAlign w:val="bottom"/>
          </w:tcPr>
          <w:p>
            <w:pPr>
              <w:spacing w:after="0"/>
              <w:rPr>
                <w:sz w:val="17"/>
                <w:szCs w:val="17"/>
                <w:color w:val="auto"/>
              </w:rPr>
            </w:pPr>
          </w:p>
        </w:tc>
        <w:tc>
          <w:tcPr>
            <w:tcW w:w="4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 years)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40" w:type="dxa"/>
            <w:vAlign w:val="bottom"/>
          </w:tcPr>
          <w:p>
            <w:pPr>
              <w:spacing w:after="0"/>
              <w:rPr>
                <w:sz w:val="17"/>
                <w:szCs w:val="17"/>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$0.89 – 1.50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1,134,206</w:t>
            </w:r>
          </w:p>
        </w:tc>
        <w:tc>
          <w:tcPr>
            <w:tcW w:w="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1.16</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934,202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1.12</w:t>
            </w:r>
          </w:p>
        </w:tc>
      </w:tr>
      <w:tr>
        <w:trPr>
          <w:trHeight w:val="198"/>
        </w:trPr>
        <w:tc>
          <w:tcPr>
            <w:tcW w:w="44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$1.51 – 2.50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3,691,315</w:t>
            </w:r>
          </w:p>
        </w:tc>
        <w:tc>
          <w:tcPr>
            <w:tcW w:w="20" w:type="dxa"/>
            <w:vAlign w:val="bottom"/>
          </w:tcPr>
          <w:p>
            <w:pPr>
              <w:spacing w:after="0"/>
              <w:rPr>
                <w:sz w:val="17"/>
                <w:szCs w:val="17"/>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6.88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2.02</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3,199,815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2.02</w:t>
            </w:r>
          </w:p>
        </w:tc>
      </w:tr>
      <w:tr>
        <w:trPr>
          <w:trHeight w:val="198"/>
        </w:trPr>
        <w:tc>
          <w:tcPr>
            <w:tcW w:w="440" w:type="dxa"/>
            <w:vAlign w:val="bottom"/>
          </w:tcPr>
          <w:p>
            <w:pPr>
              <w:spacing w:after="0"/>
              <w:rPr>
                <w:sz w:val="17"/>
                <w:szCs w:val="17"/>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$2.51 – 5.00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1,809,237</w:t>
            </w:r>
          </w:p>
        </w:tc>
        <w:tc>
          <w:tcPr>
            <w:tcW w:w="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3.48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1,784,237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3.48</w:t>
            </w:r>
          </w:p>
        </w:tc>
      </w:tr>
      <w:tr>
        <w:trPr>
          <w:trHeight w:val="203"/>
        </w:trPr>
        <w:tc>
          <w:tcPr>
            <w:tcW w:w="44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$5.01 – 6.71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220,000</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5.92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5.92</w:t>
            </w:r>
          </w:p>
        </w:tc>
      </w:tr>
      <w:tr>
        <w:trPr>
          <w:trHeight w:val="238"/>
        </w:trPr>
        <w:tc>
          <w:tcPr>
            <w:tcW w:w="44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6,854,758</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7"/>
              </w:rPr>
              <w:t>2.39</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6,138,254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7"/>
              </w:rPr>
              <w:t>2.45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13"/>
        </w:trPr>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F-18</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
        </w:trPr>
        <w:tc>
          <w:tcPr>
            <w:tcW w:w="44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Issuances</w:t>
      </w:r>
    </w:p>
    <w:p>
      <w:pPr>
        <w:spacing w:after="0" w:line="205" w:lineRule="exact"/>
        <w:rPr>
          <w:sz w:val="20"/>
          <w:szCs w:val="20"/>
          <w:color w:val="auto"/>
        </w:rPr>
      </w:pPr>
    </w:p>
    <w:p>
      <w:pPr>
        <w:ind w:left="400"/>
        <w:spacing w:after="0" w:line="251" w:lineRule="auto"/>
        <w:rPr>
          <w:sz w:val="20"/>
          <w:szCs w:val="20"/>
          <w:color w:val="auto"/>
        </w:rPr>
      </w:pPr>
      <w:r>
        <w:rPr>
          <w:rFonts w:ascii="Times New Roman" w:cs="Times New Roman" w:eastAsia="Times New Roman" w:hAnsi="Times New Roman"/>
          <w:sz w:val="17"/>
          <w:szCs w:val="17"/>
          <w:color w:val="auto"/>
        </w:rPr>
        <w:t>In January 2024, the Company issued 408,000 restricted stock units to its employees valued at $734,000 at the date of grant. These restricted stock units would vest 100% if the Company publicly presents the results of the Interim Analysis of its NAVIGATE clinical trial on or before December 31, 2024. The Company believed it was probable that the vesting condition will be met and is amortized the restricted stock unit expense ratably in 2024. The vesting condition was met in December 2024.</w:t>
      </w:r>
    </w:p>
    <w:p>
      <w:pPr>
        <w:spacing w:after="0" w:line="174" w:lineRule="exact"/>
        <w:rPr>
          <w:sz w:val="20"/>
          <w:szCs w:val="20"/>
          <w:color w:val="auto"/>
        </w:rPr>
      </w:pPr>
    </w:p>
    <w:p>
      <w:pPr>
        <w:ind w:left="400" w:right="620"/>
        <w:spacing w:after="0" w:line="267" w:lineRule="auto"/>
        <w:rPr>
          <w:sz w:val="20"/>
          <w:szCs w:val="20"/>
          <w:color w:val="auto"/>
        </w:rPr>
      </w:pPr>
      <w:r>
        <w:rPr>
          <w:rFonts w:ascii="Times New Roman" w:cs="Times New Roman" w:eastAsia="Times New Roman" w:hAnsi="Times New Roman"/>
          <w:sz w:val="17"/>
          <w:szCs w:val="17"/>
          <w:color w:val="auto"/>
        </w:rPr>
        <w:t>In January 2024, one director elected to take a restricted stock grant in lieu of cash retainers for 2024. A total of 23,256 shares of restricted stock valued at approximately $40,000 was amortized to expense on a straight-line basis until December 31, 2024 when the stock vested in full.</w:t>
      </w:r>
    </w:p>
    <w:p>
      <w:pPr>
        <w:spacing w:after="0" w:line="160" w:lineRule="exact"/>
        <w:rPr>
          <w:sz w:val="20"/>
          <w:szCs w:val="20"/>
          <w:color w:val="auto"/>
        </w:rPr>
      </w:pPr>
    </w:p>
    <w:p>
      <w:pPr>
        <w:ind w:left="400" w:right="620"/>
        <w:spacing w:after="0" w:line="267" w:lineRule="auto"/>
        <w:rPr>
          <w:sz w:val="20"/>
          <w:szCs w:val="20"/>
          <w:color w:val="auto"/>
        </w:rPr>
      </w:pPr>
      <w:r>
        <w:rPr>
          <w:rFonts w:ascii="Times New Roman" w:cs="Times New Roman" w:eastAsia="Times New Roman" w:hAnsi="Times New Roman"/>
          <w:sz w:val="17"/>
          <w:szCs w:val="17"/>
          <w:color w:val="auto"/>
        </w:rPr>
        <w:t>In January 2023, one director elected to take a restricted stock grant in lieu of cash retainers for 2023. A total of 36,036 shares of restricted stock valued at approximately $40,000 was amortized to expense on a straight-line basis until December 31, 2023 when the stock vested in full.</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Deferred Stock Units</w:t>
      </w:r>
    </w:p>
    <w:p>
      <w:pPr>
        <w:spacing w:after="0" w:line="205" w:lineRule="exact"/>
        <w:rPr>
          <w:sz w:val="20"/>
          <w:szCs w:val="20"/>
          <w:color w:val="auto"/>
        </w:rPr>
      </w:pPr>
    </w:p>
    <w:p>
      <w:pPr>
        <w:ind w:left="400" w:right="40"/>
        <w:spacing w:after="0" w:line="248" w:lineRule="auto"/>
        <w:rPr>
          <w:sz w:val="20"/>
          <w:szCs w:val="20"/>
          <w:color w:val="auto"/>
        </w:rPr>
      </w:pPr>
      <w:r>
        <w:rPr>
          <w:rFonts w:ascii="Times New Roman" w:cs="Times New Roman" w:eastAsia="Times New Roman" w:hAnsi="Times New Roman"/>
          <w:sz w:val="17"/>
          <w:szCs w:val="17"/>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Times New Roman" w:cs="Times New Roman" w:eastAsia="Times New Roman" w:hAnsi="Times New Roman"/>
          <w:sz w:val="17"/>
          <w:szCs w:val="17"/>
          <w:u w:val="single" w:color="auto"/>
          <w:color w:val="auto"/>
        </w:rPr>
        <w:t>DSUs</w:t>
      </w:r>
      <w:r>
        <w:rPr>
          <w:rFonts w:ascii="Times New Roman" w:cs="Times New Roman" w:eastAsia="Times New Roman" w:hAnsi="Times New Roman"/>
          <w:sz w:val="17"/>
          <w:szCs w:val="17"/>
          <w:color w:val="auto"/>
        </w:rPr>
        <w:t>”)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w:t>
      </w:r>
    </w:p>
    <w:p>
      <w:pPr>
        <w:spacing w:after="0" w:line="177" w:lineRule="exact"/>
        <w:rPr>
          <w:sz w:val="20"/>
          <w:szCs w:val="20"/>
          <w:color w:val="auto"/>
        </w:rPr>
      </w:pPr>
    </w:p>
    <w:p>
      <w:pPr>
        <w:jc w:val="both"/>
        <w:ind w:left="400" w:right="160"/>
        <w:spacing w:after="0" w:line="251" w:lineRule="auto"/>
        <w:rPr>
          <w:sz w:val="20"/>
          <w:szCs w:val="20"/>
          <w:color w:val="auto"/>
        </w:rPr>
      </w:pPr>
      <w:r>
        <w:rPr>
          <w:rFonts w:ascii="Times New Roman" w:cs="Times New Roman" w:eastAsia="Times New Roman" w:hAnsi="Times New Roman"/>
          <w:sz w:val="17"/>
          <w:szCs w:val="17"/>
          <w:color w:val="auto"/>
        </w:rPr>
        <w:t>On March 1, 2024, fifty percent of the DSU’s were issued to Mr. Lewis in accordance with the DSU Agreement. A total of 367,800 shares were due to be issued; however, 153,288 shares were withheld to cover income tax withholding of $300,445 resulting in 214,512 shares actually issued. On March 1, 2023, twenty five percent of the DSU’s were issued to Mr. Lewis in accordance with the DSU Agreement. A total of 183,900 shares were due to be issued; however, 75,529 shares were withheld to cover income tax withholding of $156,345 resulting in 108,371 shares actually issued.</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Additionally, a 2023 DSU Agreement was executed in July 2022, whereby Mr. Lewis would continue to receive 20% of salary in cash and 80% in DSUs for 2023.</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shares under the 2023 DSU Agreement are to be issued fifty percent on March 1, 2025 and fifty percent on January 5, 2026.</w:t>
      </w:r>
    </w:p>
    <w:p>
      <w:pPr>
        <w:spacing w:after="0" w:line="185" w:lineRule="exact"/>
        <w:rPr>
          <w:sz w:val="20"/>
          <w:szCs w:val="20"/>
          <w:color w:val="auto"/>
        </w:rPr>
      </w:pPr>
    </w:p>
    <w:p>
      <w:pPr>
        <w:ind w:left="400" w:right="80"/>
        <w:spacing w:after="0" w:line="251" w:lineRule="auto"/>
        <w:rPr>
          <w:sz w:val="20"/>
          <w:szCs w:val="20"/>
          <w:color w:val="auto"/>
        </w:rPr>
      </w:pPr>
      <w:r>
        <w:rPr>
          <w:rFonts w:ascii="Times New Roman" w:cs="Times New Roman" w:eastAsia="Times New Roman" w:hAnsi="Times New Roman"/>
          <w:sz w:val="17"/>
          <w:szCs w:val="17"/>
          <w:color w:val="auto"/>
        </w:rPr>
        <w:t>For the year ended December 31, 2023, approximately $459,000 of his compensation was recorded as stock compensation expense representing 275,126 shares of common stock to be issued under the DSU agreement with a weighted average grant date fair value of $1.71 per share. For the year ended December 31, 2022, approximately $418,000 of his compensation was recorded as stock compensation expense representing 268,596 shares of common stock to be issued under the DSU agreement with a weighted average grant date fair value of $1.56 per share.</w:t>
      </w:r>
    </w:p>
    <w:p>
      <w:pPr>
        <w:spacing w:after="0" w:line="174" w:lineRule="exact"/>
        <w:rPr>
          <w:sz w:val="20"/>
          <w:szCs w:val="20"/>
          <w:color w:val="auto"/>
        </w:rPr>
      </w:pPr>
    </w:p>
    <w:p>
      <w:pPr>
        <w:ind w:left="400" w:right="60"/>
        <w:spacing w:after="0" w:line="248" w:lineRule="auto"/>
        <w:rPr>
          <w:sz w:val="20"/>
          <w:szCs w:val="20"/>
          <w:color w:val="auto"/>
        </w:rPr>
      </w:pPr>
      <w:r>
        <w:rPr>
          <w:rFonts w:ascii="Times New Roman" w:cs="Times New Roman" w:eastAsia="Times New Roman" w:hAnsi="Times New Roman"/>
          <w:sz w:val="17"/>
          <w:szCs w:val="17"/>
          <w:color w:val="auto"/>
        </w:rPr>
        <w:t>Also, Mr. Lewis’ bonus for the year ended December 31, 2022 of $210,000 (which was included in accrued compensation at December 31, 2022) was approved in January 2023 and represents 143,836 shares of common stock to be issued under the DSU agreement with a grant date fair value of $1.46 per share. The $210,000 was reclassified from accrued compensation to additional paid in capital in January 2023. Mr. Lewis’ bonus for the year ended December 31, 2021 of $200,000 (which was included in accrued compensation at December 31, 2021) was approved in January 2022, and represents 103,627 shares of common stock to be issued under the DSU agreement with a grant date fair value of $1.93 per share. The $200,000 was reclassified from accrued compensation to additional paid in capital in January 2022.</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There is no unrecognized compensation expense related to the DSUs.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5" w:name="page76"/>
    <w:bookmarkEnd w:id="75"/>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441" w:hanging="441"/>
        <w:spacing w:after="0"/>
        <w:tabs>
          <w:tab w:leader="none" w:pos="441"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Line of Credit – Related Party and Supplemental Lines of Credit – Related Party</w:t>
      </w:r>
    </w:p>
    <w:p>
      <w:pPr>
        <w:spacing w:after="0" w:line="205" w:lineRule="exact"/>
        <w:rPr>
          <w:rFonts w:ascii="Times New Roman" w:cs="Times New Roman" w:eastAsia="Times New Roman" w:hAnsi="Times New Roman"/>
          <w:sz w:val="17"/>
          <w:szCs w:val="17"/>
          <w:b w:val="1"/>
          <w:bCs w:val="1"/>
          <w:color w:val="auto"/>
        </w:rPr>
      </w:pPr>
    </w:p>
    <w:p>
      <w:pPr>
        <w:ind w:left="441" w:right="2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70" w:lineRule="exact"/>
        <w:rPr>
          <w:rFonts w:ascii="Times New Roman" w:cs="Times New Roman" w:eastAsia="Times New Roman" w:hAnsi="Times New Roman"/>
          <w:sz w:val="17"/>
          <w:szCs w:val="17"/>
          <w:b w:val="1"/>
          <w:bCs w:val="1"/>
          <w:color w:val="auto"/>
        </w:rPr>
      </w:pPr>
    </w:p>
    <w:p>
      <w:pPr>
        <w:jc w:val="both"/>
        <w:ind w:left="441" w:right="22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74" w:lineRule="exact"/>
        <w:rPr>
          <w:rFonts w:ascii="Times New Roman" w:cs="Times New Roman" w:eastAsia="Times New Roman" w:hAnsi="Times New Roman"/>
          <w:sz w:val="17"/>
          <w:szCs w:val="17"/>
          <w:b w:val="1"/>
          <w:bCs w:val="1"/>
          <w:color w:val="auto"/>
        </w:rPr>
      </w:pPr>
    </w:p>
    <w:p>
      <w:pPr>
        <w:jc w:val="both"/>
        <w:ind w:left="441" w:right="8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0" w:lineRule="exact"/>
        <w:rPr>
          <w:rFonts w:ascii="Times New Roman" w:cs="Times New Roman" w:eastAsia="Times New Roman" w:hAnsi="Times New Roman"/>
          <w:sz w:val="17"/>
          <w:szCs w:val="17"/>
          <w:b w:val="1"/>
          <w:bCs w:val="1"/>
          <w:color w:val="auto"/>
        </w:rPr>
      </w:pPr>
    </w:p>
    <w:p>
      <w:pPr>
        <w:ind w:left="441"/>
        <w:spacing w:after="0" w:line="28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47" w:lineRule="exact"/>
        <w:rPr>
          <w:rFonts w:ascii="Times New Roman" w:cs="Times New Roman" w:eastAsia="Times New Roman" w:hAnsi="Times New Roman"/>
          <w:sz w:val="17"/>
          <w:szCs w:val="17"/>
          <w:b w:val="1"/>
          <w:bCs w:val="1"/>
          <w:color w:val="auto"/>
        </w:rPr>
      </w:pPr>
    </w:p>
    <w:p>
      <w:pPr>
        <w:ind w:left="441" w:right="8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will be amortized on a straight-line basis from July 25, 2022 through January 31, 2026. Amortization for the years ended December 31, 2024 and 2023 of $210,000 and $209,000, respectively, was recorded as interest expense.</w:t>
      </w:r>
    </w:p>
    <w:p>
      <w:pPr>
        <w:spacing w:after="0" w:line="174" w:lineRule="exact"/>
        <w:rPr>
          <w:rFonts w:ascii="Times New Roman" w:cs="Times New Roman" w:eastAsia="Times New Roman" w:hAnsi="Times New Roman"/>
          <w:sz w:val="17"/>
          <w:szCs w:val="17"/>
          <w:b w:val="1"/>
          <w:bCs w:val="1"/>
          <w:color w:val="auto"/>
        </w:rPr>
      </w:pPr>
    </w:p>
    <w:p>
      <w:pPr>
        <w:ind w:left="441"/>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December 19, 2022, the Company executed a $10 million Promissory Note under the Line of Credit. The interest rate on this draw is 6.46% (Applicable Federal Rate for short term loans on date of draw of 4.46% plus 2%). The effective interest rate is approximately 7.1%. Accrued interest on this draw was approximately $1,399,000 and $688,000 at December 31, 2024 and 2023,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1"/>
          </w:cols>
          <w:pgMar w:left="319" w:top="11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440" w:right="40"/>
        <w:spacing w:after="0" w:line="249" w:lineRule="auto"/>
        <w:rPr>
          <w:sz w:val="20"/>
          <w:szCs w:val="20"/>
          <w:color w:val="auto"/>
        </w:rPr>
      </w:pPr>
      <w:r>
        <w:rPr>
          <w:rFonts w:ascii="Times New Roman" w:cs="Times New Roman" w:eastAsia="Times New Roman" w:hAnsi="Times New Roman"/>
          <w:sz w:val="17"/>
          <w:szCs w:val="17"/>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January 31, 2026. Amortization for the years ended December 31, 2024 and 2023 of $52,000 and $51,000, respectively, was recorded as interest expense.</w:t>
      </w:r>
    </w:p>
    <w:p>
      <w:pPr>
        <w:spacing w:after="0" w:line="177" w:lineRule="exact"/>
        <w:rPr>
          <w:sz w:val="20"/>
          <w:szCs w:val="20"/>
          <w:color w:val="auto"/>
        </w:rPr>
      </w:pPr>
    </w:p>
    <w:p>
      <w:pPr>
        <w:ind w:left="440" w:right="60"/>
        <w:spacing w:after="0" w:line="249" w:lineRule="auto"/>
        <w:rPr>
          <w:sz w:val="20"/>
          <w:szCs w:val="20"/>
          <w:color w:val="auto"/>
        </w:rPr>
      </w:pPr>
      <w:r>
        <w:rPr>
          <w:rFonts w:ascii="Times New Roman" w:cs="Times New Roman" w:eastAsia="Times New Roman" w:hAnsi="Times New Roman"/>
          <w:sz w:val="17"/>
          <w:szCs w:val="17"/>
          <w:color w:val="auto"/>
        </w:rPr>
        <w:t>On March 31, 2023, the Company executed an additional $10 million Promissory Note under the Line of Credit. The interest rate on this draw is 6.41% (Applicable Federal Rate for short term loans on date of draw of 4.41% plus 2%). The effective interest rate is approximately 7.1%. Accrued interest on this draw was approximately $1,184,000 and $491,000 at December 31, 2024 and 2023, respectively. The principal and accrued interest is convertible at the option of the Lender at $3.00 per share. In accordance with the Credit Agreement, the Company issued the Lender a Warrant to purchase up to 200,000 shares of Company’s Common Stock at an exercise price of $3.26 per share, which Warrant is exercisable upon issuance.</w:t>
      </w:r>
    </w:p>
    <w:p>
      <w:pPr>
        <w:spacing w:after="0" w:line="177" w:lineRule="exact"/>
        <w:rPr>
          <w:sz w:val="20"/>
          <w:szCs w:val="20"/>
          <w:color w:val="auto"/>
        </w:rPr>
      </w:pPr>
    </w:p>
    <w:p>
      <w:pPr>
        <w:ind w:left="440"/>
        <w:spacing w:after="0" w:line="249" w:lineRule="auto"/>
        <w:rPr>
          <w:sz w:val="20"/>
          <w:szCs w:val="20"/>
          <w:color w:val="auto"/>
        </w:rPr>
      </w:pPr>
      <w:r>
        <w:rPr>
          <w:rFonts w:ascii="Times New Roman" w:cs="Times New Roman" w:eastAsia="Times New Roman" w:hAnsi="Times New Roman"/>
          <w:sz w:val="17"/>
          <w:szCs w:val="17"/>
          <w:color w:val="auto"/>
        </w:rPr>
        <w:t>The fair value of the 200,000 warrants vested at closing on March 31, 2023 was $296,680 at the date of issuance based on the following assumptions: an expected life of 6.33 years, volatility of 88%, risk free interest rate of 3.94%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31, 2023 through January 31, 2026. Amortization for the year ended December 31, 2024 and 2023 of $105,000 and $79,000, respectively, was recorded as interest expense.</w:t>
      </w:r>
    </w:p>
    <w:p>
      <w:pPr>
        <w:spacing w:after="0" w:line="177" w:lineRule="exact"/>
        <w:rPr>
          <w:sz w:val="20"/>
          <w:szCs w:val="20"/>
          <w:color w:val="auto"/>
        </w:rPr>
      </w:pPr>
    </w:p>
    <w:p>
      <w:pPr>
        <w:ind w:left="440" w:right="60"/>
        <w:spacing w:after="0" w:line="249" w:lineRule="auto"/>
        <w:rPr>
          <w:sz w:val="20"/>
          <w:szCs w:val="20"/>
          <w:color w:val="auto"/>
        </w:rPr>
      </w:pPr>
      <w:r>
        <w:rPr>
          <w:rFonts w:ascii="Times New Roman" w:cs="Times New Roman" w:eastAsia="Times New Roman" w:hAnsi="Times New Roman"/>
          <w:sz w:val="17"/>
          <w:szCs w:val="17"/>
          <w:color w:val="auto"/>
        </w:rPr>
        <w:t>On June 30, 2023, the Company executed an additional $10 million Promissory Note under the Line of Credit. The interest rate on this draw is 6.34% (Applicable Federal Rate for short term loans on date of draw of 4.34% plus 2%). The effective interest rate is approximately 7.1%. Accrued interest on this draw was approximately $995,000 and $321,000 at December 31, 2024 and 2023,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77" w:lineRule="exact"/>
        <w:rPr>
          <w:sz w:val="20"/>
          <w:szCs w:val="20"/>
          <w:color w:val="auto"/>
        </w:rPr>
      </w:pPr>
    </w:p>
    <w:p>
      <w:pPr>
        <w:ind w:left="440"/>
        <w:spacing w:after="0" w:line="249" w:lineRule="auto"/>
        <w:rPr>
          <w:sz w:val="20"/>
          <w:szCs w:val="20"/>
          <w:color w:val="auto"/>
        </w:rPr>
      </w:pPr>
      <w:r>
        <w:rPr>
          <w:rFonts w:ascii="Times New Roman" w:cs="Times New Roman" w:eastAsia="Times New Roman" w:hAnsi="Times New Roman"/>
          <w:sz w:val="17"/>
          <w:szCs w:val="17"/>
          <w:color w:val="auto"/>
        </w:rPr>
        <w:t>The fair value of the 200,000 warrants vested at closing on June 30, 2023 was $179,920 at the date of issuance based on the following assumptions: an expected life of 6.08 years, volatility of 85%, risk free interest rate of 3.59%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2023 through January 31, 2026. Amortization for the year ended December 31, 2024 and 2023 of $69,000 and $35,000, respectively, was recorded as interest expense.</w:t>
      </w:r>
    </w:p>
    <w:p>
      <w:pPr>
        <w:spacing w:after="0" w:line="177" w:lineRule="exact"/>
        <w:rPr>
          <w:sz w:val="20"/>
          <w:szCs w:val="20"/>
          <w:color w:val="auto"/>
        </w:rPr>
      </w:pPr>
    </w:p>
    <w:p>
      <w:pPr>
        <w:ind w:left="440"/>
        <w:spacing w:after="0" w:line="249" w:lineRule="auto"/>
        <w:rPr>
          <w:sz w:val="20"/>
          <w:szCs w:val="20"/>
          <w:color w:val="auto"/>
        </w:rPr>
      </w:pPr>
      <w:r>
        <w:rPr>
          <w:rFonts w:ascii="Times New Roman" w:cs="Times New Roman" w:eastAsia="Times New Roman" w:hAnsi="Times New Roman"/>
          <w:sz w:val="17"/>
          <w:szCs w:val="17"/>
          <w:color w:val="auto"/>
        </w:rPr>
        <w:t>On December 29, 2023, the Company executed an additional $10 million Promissory Note under the Line of Credit. The interest rate on this draw is 7.13% (Applicable Federal Rate for short term loans on date of draw of 5.13% plus 2%). The effective interest rate is approximately 7.5%. Accrued interest on this draw was approximately $737,000 at December 31, 2024.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77" w:lineRule="exact"/>
        <w:rPr>
          <w:sz w:val="20"/>
          <w:szCs w:val="20"/>
          <w:color w:val="auto"/>
        </w:rPr>
      </w:pPr>
    </w:p>
    <w:p>
      <w:pPr>
        <w:ind w:left="440" w:right="60"/>
        <w:spacing w:after="0" w:line="280" w:lineRule="auto"/>
        <w:rPr>
          <w:sz w:val="20"/>
          <w:szCs w:val="20"/>
          <w:color w:val="auto"/>
        </w:rPr>
      </w:pPr>
      <w:r>
        <w:rPr>
          <w:rFonts w:ascii="Times New Roman" w:cs="Times New Roman" w:eastAsia="Times New Roman" w:hAnsi="Times New Roman"/>
          <w:sz w:val="15"/>
          <w:szCs w:val="15"/>
          <w:color w:val="auto"/>
        </w:rPr>
        <w:t>The fair value of the 200,000 warrants vested at closing on December 31, 2023 was $193,745 at the date of issuance based on the following assumptions: an expected life of 5.7 years, volatility of 79%, risk free interest rate of 4.49%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December 29, 2023 through January 31, 2026. Amortization for the year ended December 31, 2024 of $93,000 was recorded as interest expense. On March 29, 2024, the Company executed an additional $10 million Promissory Note under the Line of Credit. The interest rate on this draw is 6.62% (Applicable Federal Rate for short term loans on date of draw of 4.62% plus 2%). The effective interest rate is approximately</w:t>
      </w:r>
    </w:p>
    <w:p>
      <w:pPr>
        <w:ind w:left="440" w:right="60"/>
        <w:spacing w:after="0" w:line="245" w:lineRule="auto"/>
        <w:rPr>
          <w:sz w:val="20"/>
          <w:szCs w:val="20"/>
          <w:color w:val="auto"/>
        </w:rPr>
      </w:pPr>
      <w:r>
        <w:rPr>
          <w:rFonts w:ascii="Times New Roman" w:cs="Times New Roman" w:eastAsia="Times New Roman" w:hAnsi="Times New Roman"/>
          <w:sz w:val="17"/>
          <w:szCs w:val="17"/>
          <w:color w:val="auto"/>
        </w:rPr>
        <w:t>7.1%. Accrued interest on this draw was $508,000 at December 31, 2024. The principal and accrued interest is convertible at the option of the Lender at $3.00 per share. In accordance with the Credit Agreement, the Company issued the Lender a Warrant to purchase up to 200,000 shares of Company’s Common Stock at an exercise price of $3.59 per share, which Warrant is exercisable upon issuance.</w:t>
      </w:r>
    </w:p>
    <w:p>
      <w:pPr>
        <w:spacing w:after="0" w:line="178" w:lineRule="exact"/>
        <w:rPr>
          <w:sz w:val="20"/>
          <w:szCs w:val="20"/>
          <w:color w:val="auto"/>
        </w:rPr>
      </w:pPr>
    </w:p>
    <w:p>
      <w:pPr>
        <w:jc w:val="both"/>
        <w:ind w:left="440"/>
        <w:spacing w:after="0" w:line="249" w:lineRule="auto"/>
        <w:rPr>
          <w:sz w:val="20"/>
          <w:szCs w:val="20"/>
          <w:color w:val="auto"/>
        </w:rPr>
      </w:pPr>
      <w:r>
        <w:rPr>
          <w:rFonts w:ascii="Times New Roman" w:cs="Times New Roman" w:eastAsia="Times New Roman" w:hAnsi="Times New Roman"/>
          <w:sz w:val="17"/>
          <w:szCs w:val="17"/>
          <w:color w:val="auto"/>
        </w:rPr>
        <w:t>The fair value of the 200,000 warrants vested at closing on March 29, 2024, was $277,389 at the date of issuance based on the following assumptions: an expected life of 5.33 years, volatility of 75%, risk free interest rate of 4.19%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29, 2024 through January 31, 2026. Amortization for the year ended December 31, 2024 of $114,000 was recorded as interest expense.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On June 28, 2024, the Company executed an additional $10 million Promissory Note under the Line of Credit. The interest rate on this draw is 7.01% (Applicable</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Federal Rate for short term loans on date of draw of 5.01% plus 2%). The effective interest rate is approximately 7.4%. Accrued interest on this draw was</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$336,000 at December 31, 2024. The principal and accrued interest is convertible at the option of the Lender at $3.00 per share. In accordance with the Credit</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Agreement, the Company issued the Lender a Warrant to purchase up to 200,000 shares of Company’s Common Stock at an exercise price of $3.39 per share,</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which Warrant is exercisable upon issuance.</w:t>
      </w:r>
    </w:p>
    <w:p>
      <w:pPr>
        <w:spacing w:after="0" w:line="185" w:lineRule="exact"/>
        <w:rPr>
          <w:sz w:val="20"/>
          <w:szCs w:val="20"/>
          <w:color w:val="auto"/>
        </w:rPr>
      </w:pPr>
    </w:p>
    <w:p>
      <w:pPr>
        <w:ind w:left="440"/>
        <w:spacing w:after="0" w:line="249" w:lineRule="auto"/>
        <w:rPr>
          <w:sz w:val="20"/>
          <w:szCs w:val="20"/>
          <w:color w:val="auto"/>
        </w:rPr>
      </w:pPr>
      <w:r>
        <w:rPr>
          <w:rFonts w:ascii="Times New Roman" w:cs="Times New Roman" w:eastAsia="Times New Roman" w:hAnsi="Times New Roman"/>
          <w:sz w:val="17"/>
          <w:szCs w:val="17"/>
          <w:color w:val="auto"/>
        </w:rPr>
        <w:t>The fair value of the 200,000 warrants vested at closing on June 28, 2024, was $260,000 at the date of issuance based on the following assumptions: an expected life of 5.03 years, volatility of 77%, risk free interest rate of 4.29%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28, 2024 through January 31, 2026. Amortization for the year ended December 31, 2024 of $82,000 was recorded as interest expense.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354" w:lineRule="exact"/>
        <w:rPr>
          <w:sz w:val="20"/>
          <w:szCs w:val="20"/>
          <w:color w:val="auto"/>
        </w:rPr>
      </w:pPr>
    </w:p>
    <w:p>
      <w:pPr>
        <w:ind w:left="440" w:right="80"/>
        <w:spacing w:after="0" w:line="255" w:lineRule="auto"/>
        <w:rPr>
          <w:sz w:val="20"/>
          <w:szCs w:val="20"/>
          <w:color w:val="auto"/>
        </w:rPr>
      </w:pPr>
      <w:r>
        <w:rPr>
          <w:rFonts w:ascii="Times New Roman" w:cs="Times New Roman" w:eastAsia="Times New Roman" w:hAnsi="Times New Roman"/>
          <w:sz w:val="17"/>
          <w:szCs w:val="17"/>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171" w:lineRule="exact"/>
        <w:rPr>
          <w:sz w:val="20"/>
          <w:szCs w:val="20"/>
          <w:color w:val="auto"/>
        </w:rPr>
      </w:pPr>
    </w:p>
    <w:p>
      <w:pPr>
        <w:ind w:left="440" w:right="40"/>
        <w:spacing w:after="0" w:line="251" w:lineRule="auto"/>
        <w:rPr>
          <w:sz w:val="20"/>
          <w:szCs w:val="20"/>
          <w:color w:val="auto"/>
        </w:rPr>
      </w:pPr>
      <w:r>
        <w:rPr>
          <w:rFonts w:ascii="Times New Roman" w:cs="Times New Roman" w:eastAsia="Times New Roman" w:hAnsi="Times New Roman"/>
          <w:sz w:val="17"/>
          <w:szCs w:val="17"/>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74" w:lineRule="exact"/>
        <w:rPr>
          <w:sz w:val="20"/>
          <w:szCs w:val="20"/>
          <w:color w:val="auto"/>
        </w:rPr>
      </w:pPr>
    </w:p>
    <w:p>
      <w:pPr>
        <w:jc w:val="both"/>
        <w:ind w:left="440" w:right="80"/>
        <w:spacing w:after="0" w:line="255" w:lineRule="auto"/>
        <w:rPr>
          <w:sz w:val="20"/>
          <w:szCs w:val="20"/>
          <w:color w:val="auto"/>
        </w:rPr>
      </w:pPr>
      <w:r>
        <w:rPr>
          <w:rFonts w:ascii="Times New Roman" w:cs="Times New Roman" w:eastAsia="Times New Roman" w:hAnsi="Times New Roman"/>
          <w:sz w:val="17"/>
          <w:szCs w:val="17"/>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1" w:lineRule="exact"/>
        <w:rPr>
          <w:sz w:val="20"/>
          <w:szCs w:val="20"/>
          <w:color w:val="auto"/>
        </w:rPr>
      </w:pPr>
    </w:p>
    <w:p>
      <w:pPr>
        <w:ind w:left="440" w:right="60"/>
        <w:spacing w:after="0" w:line="251" w:lineRule="auto"/>
        <w:rPr>
          <w:sz w:val="20"/>
          <w:szCs w:val="20"/>
          <w:color w:val="auto"/>
        </w:rPr>
      </w:pPr>
      <w:r>
        <w:rPr>
          <w:rFonts w:ascii="Times New Roman" w:cs="Times New Roman" w:eastAsia="Times New Roman" w:hAnsi="Times New Roman"/>
          <w:sz w:val="17"/>
          <w:szCs w:val="17"/>
          <w:color w:val="auto"/>
        </w:rPr>
        <w:t>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74" w:lineRule="exact"/>
        <w:rPr>
          <w:sz w:val="20"/>
          <w:szCs w:val="20"/>
          <w:color w:val="auto"/>
        </w:rPr>
      </w:pPr>
    </w:p>
    <w:p>
      <w:pPr>
        <w:ind w:left="440"/>
        <w:spacing w:after="0" w:line="246" w:lineRule="auto"/>
        <w:rPr>
          <w:sz w:val="20"/>
          <w:szCs w:val="20"/>
          <w:color w:val="auto"/>
        </w:rPr>
      </w:pPr>
      <w:r>
        <w:rPr>
          <w:rFonts w:ascii="Times New Roman" w:cs="Times New Roman" w:eastAsia="Times New Roman" w:hAnsi="Times New Roman"/>
          <w:sz w:val="17"/>
          <w:szCs w:val="17"/>
          <w:color w:val="auto"/>
        </w:rPr>
        <w:t>On September 30, 2024, the Company executed a $10 million Promissory Note under the Supplemental Line of Credit. The interest rate on this draw is 6.13% (Applicable Federal Rate for short term loans on date of draw of 5.01% plus 2%). The effective interest rate is approximately 6.4%. Accrued interest on this draw was $154,000 at December 31, 2024. The principal and accrued interest is convertible at the option of the Lender at $3.00 per share. In accordance with the Credit Agreement, the Company issued the Lender a Warrant to purchase up to 200,000 shares of Company’s Common Stock at an exercise price of $4.13 per share, which Warrant is exercisable upon issuance. The fair value of the 200,000 warrants vested at closing on September 30, 2024, was $307,780 at the date of issuance based on the following assumptions: an expected life of 4.83 years, volatility of 78%, risk free interest rate of 3.58%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October 1, 2024 through January 31, 2026. Amortization for the year ended December 31, 2024 of $58,000 was recorded as interest expense.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8" w:name="page79"/>
    <w:bookmarkEnd w:id="78"/>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354" w:lineRule="exact"/>
        <w:rPr>
          <w:sz w:val="20"/>
          <w:szCs w:val="20"/>
          <w:color w:val="auto"/>
        </w:rPr>
      </w:pPr>
    </w:p>
    <w:p>
      <w:pPr>
        <w:ind w:left="441" w:right="520"/>
        <w:spacing w:after="0" w:line="251" w:lineRule="auto"/>
        <w:rPr>
          <w:sz w:val="20"/>
          <w:szCs w:val="20"/>
          <w:color w:val="auto"/>
        </w:rPr>
      </w:pPr>
      <w:r>
        <w:rPr>
          <w:rFonts w:ascii="Times New Roman" w:cs="Times New Roman" w:eastAsia="Times New Roman" w:hAnsi="Times New Roman"/>
          <w:sz w:val="17"/>
          <w:szCs w:val="17"/>
          <w:color w:val="auto"/>
        </w:rPr>
        <w:t>On November 14, 2024, the Company and Richard E. Uihlein (the “Lender”) entered into an additional Supplemental Line of Credit Letter Agreement (the “November 2024 Supplemental Credit Agreement”), pursuant to which the Lender shall provide the Company a line of credit of up to $6.0 million (the “November 2024 Supplemental Line of Credit”) to finance the Company’s working capital needs. The Company may draw upon the November 2024 Supplemental Line of Credit through March 31, 2025.</w:t>
      </w:r>
    </w:p>
    <w:p>
      <w:pPr>
        <w:spacing w:after="0" w:line="174" w:lineRule="exact"/>
        <w:rPr>
          <w:sz w:val="20"/>
          <w:szCs w:val="20"/>
          <w:color w:val="auto"/>
        </w:rPr>
      </w:pPr>
    </w:p>
    <w:p>
      <w:pPr>
        <w:ind w:left="441" w:right="80"/>
        <w:spacing w:after="0" w:line="251" w:lineRule="auto"/>
        <w:rPr>
          <w:sz w:val="20"/>
          <w:szCs w:val="20"/>
          <w:color w:val="auto"/>
        </w:rPr>
      </w:pPr>
      <w:r>
        <w:rPr>
          <w:rFonts w:ascii="Times New Roman" w:cs="Times New Roman" w:eastAsia="Times New Roman" w:hAnsi="Times New Roman"/>
          <w:sz w:val="17"/>
          <w:szCs w:val="17"/>
          <w:color w:val="auto"/>
        </w:rPr>
        <w:t>Each advance made pursuant to the November 2024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Only with the consent of the Lender, may the Promissory Notes be prepaid, in whole or in part, at any time without premium or penalty, but with interest on the amount or amounts prepaid.</w:t>
      </w:r>
    </w:p>
    <w:p>
      <w:pPr>
        <w:spacing w:after="0" w:line="174" w:lineRule="exact"/>
        <w:rPr>
          <w:sz w:val="20"/>
          <w:szCs w:val="20"/>
          <w:color w:val="auto"/>
        </w:rPr>
      </w:pPr>
    </w:p>
    <w:p>
      <w:pPr>
        <w:jc w:val="both"/>
        <w:ind w:left="441" w:right="100"/>
        <w:spacing w:after="0" w:line="255" w:lineRule="auto"/>
        <w:rPr>
          <w:sz w:val="20"/>
          <w:szCs w:val="20"/>
          <w:color w:val="auto"/>
        </w:rPr>
      </w:pPr>
      <w:r>
        <w:rPr>
          <w:rFonts w:ascii="Times New Roman" w:cs="Times New Roman" w:eastAsia="Times New Roman" w:hAnsi="Times New Roman"/>
          <w:sz w:val="17"/>
          <w:szCs w:val="17"/>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1" w:lineRule="exact"/>
        <w:rPr>
          <w:sz w:val="20"/>
          <w:szCs w:val="20"/>
          <w:color w:val="auto"/>
        </w:rPr>
      </w:pPr>
    </w:p>
    <w:p>
      <w:pPr>
        <w:ind w:left="441" w:right="160"/>
        <w:spacing w:after="0" w:line="249" w:lineRule="auto"/>
        <w:rPr>
          <w:sz w:val="20"/>
          <w:szCs w:val="20"/>
          <w:color w:val="auto"/>
        </w:rPr>
      </w:pPr>
      <w:r>
        <w:rPr>
          <w:rFonts w:ascii="Times New Roman" w:cs="Times New Roman" w:eastAsia="Times New Roman" w:hAnsi="Times New Roman"/>
          <w:sz w:val="17"/>
          <w:szCs w:val="17"/>
          <w:color w:val="auto"/>
        </w:rPr>
        <w:t>In connection with the November 2024 Supplemental Credit Agreement, the Company agreed to issue the Lender warrants to purchase up to an aggregate of 120,000 shares of the Company’s common stock, par value $0.001 per share (collectively, the “Warrants”). The Company shall issue to the Lender Warrants ratably, upon borrowings under the November 2024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77" w:lineRule="exact"/>
        <w:rPr>
          <w:sz w:val="20"/>
          <w:szCs w:val="20"/>
          <w:color w:val="auto"/>
        </w:rPr>
      </w:pPr>
    </w:p>
    <w:p>
      <w:pPr>
        <w:ind w:left="441" w:right="300"/>
        <w:spacing w:after="0" w:line="267" w:lineRule="auto"/>
        <w:rPr>
          <w:sz w:val="20"/>
          <w:szCs w:val="20"/>
          <w:color w:val="auto"/>
        </w:rPr>
      </w:pPr>
      <w:r>
        <w:rPr>
          <w:rFonts w:ascii="Times New Roman" w:cs="Times New Roman" w:eastAsia="Times New Roman" w:hAnsi="Times New Roman"/>
          <w:sz w:val="17"/>
          <w:szCs w:val="17"/>
          <w:color w:val="auto"/>
        </w:rPr>
        <w:t>The fair value of warrants that vest in the future based on borrowings will be computed when those borrowings occur and amortized over the remaining period through March 31, 2026.</w:t>
      </w:r>
    </w:p>
    <w:p>
      <w:pPr>
        <w:spacing w:after="0" w:line="156" w:lineRule="exact"/>
        <w:rPr>
          <w:sz w:val="20"/>
          <w:szCs w:val="20"/>
          <w:color w:val="auto"/>
        </w:rPr>
      </w:pPr>
    </w:p>
    <w:p>
      <w:pPr>
        <w:ind w:left="441" w:hanging="441"/>
        <w:spacing w:after="0"/>
        <w:tabs>
          <w:tab w:leader="none" w:pos="441"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w:t>
      </w:r>
    </w:p>
    <w:p>
      <w:pPr>
        <w:spacing w:after="0" w:line="205" w:lineRule="exact"/>
        <w:rPr>
          <w:sz w:val="20"/>
          <w:szCs w:val="20"/>
          <w:color w:val="auto"/>
        </w:rPr>
      </w:pPr>
    </w:p>
    <w:p>
      <w:pPr>
        <w:ind w:left="401"/>
        <w:spacing w:after="0" w:line="251" w:lineRule="auto"/>
        <w:rPr>
          <w:sz w:val="20"/>
          <w:szCs w:val="20"/>
          <w:color w:val="auto"/>
        </w:rPr>
      </w:pPr>
      <w:r>
        <w:rPr>
          <w:rFonts w:ascii="Times New Roman" w:cs="Times New Roman" w:eastAsia="Times New Roman" w:hAnsi="Times New Roman"/>
          <w:sz w:val="17"/>
          <w:szCs w:val="17"/>
          <w:color w:val="auto"/>
        </w:rPr>
        <w:t>Basic net loss per common share is computed by dividing the net loss available to common stockholders by the weighted average number of common shares outstanding during the period. For the years ended December 31, 2024 and 2023, as the Company was in a net loss position, the diluted loss per share computations for such periods did not assume the exercise of warrants and stock options or the conversion of Convertible Notes, or the conversion of convertible preferred stock as they would have had an anti-dilutive effect on loss per share.</w:t>
      </w:r>
    </w:p>
    <w:p>
      <w:pPr>
        <w:spacing w:after="0" w:line="174" w:lineRule="exact"/>
        <w:rPr>
          <w:sz w:val="20"/>
          <w:szCs w:val="20"/>
          <w:color w:val="auto"/>
        </w:rPr>
      </w:pPr>
    </w:p>
    <w:p>
      <w:pPr>
        <w:ind w:left="401" w:right="200"/>
        <w:spacing w:after="0" w:line="267" w:lineRule="auto"/>
        <w:rPr>
          <w:sz w:val="20"/>
          <w:szCs w:val="20"/>
          <w:color w:val="auto"/>
        </w:rPr>
      </w:pPr>
      <w:r>
        <w:rPr>
          <w:rFonts w:ascii="Times New Roman" w:cs="Times New Roman" w:eastAsia="Times New Roman" w:hAnsi="Times New Roman"/>
          <w:sz w:val="17"/>
          <w:szCs w:val="17"/>
          <w:color w:val="auto"/>
        </w:rPr>
        <w:t>The following potentially dilutive securities have been excluded from the computations of diluted weighted average shares outstanding as of December 31, 2024 and 2023 as the inclusion thereof would have been anti-dilutive:</w:t>
      </w:r>
    </w:p>
    <w:p>
      <w:pPr>
        <w:spacing w:after="0" w:line="156"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44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2480" w:type="dxa"/>
            <w:vAlign w:val="bottom"/>
            <w:gridSpan w:val="4"/>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2480" w:type="dxa"/>
            <w:vAlign w:val="bottom"/>
            <w:gridSpan w:val="4"/>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1100" w:type="dxa"/>
            <w:vAlign w:val="bottom"/>
            <w:tcBorders>
              <w:top w:val="single" w:sz="8" w:color="auto"/>
            </w:tcBorders>
          </w:tcPr>
          <w:p>
            <w:pPr>
              <w:jc w:val="right"/>
              <w:ind w:right="297"/>
              <w:spacing w:after="0" w:line="178" w:lineRule="exact"/>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77"/>
              <w:spacing w:after="0" w:line="178"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to purchase shares of common stock</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9,595,940</w:t>
            </w:r>
          </w:p>
        </w:tc>
        <w:tc>
          <w:tcPr>
            <w:tcW w:w="2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9,256,493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6,854,758</w:t>
            </w: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6,333,841</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of common stock issuable upon conversion of convertible notes payable – related party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7,024,053</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6,418,913</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Shares of common stock issuable upon conversion of convertible line of credit – related party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25,103,873</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13,833,356</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of common stock issuable upon conversion preferred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499,174</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499,174</w:t>
            </w: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8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49,077,798</w:t>
            </w: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36,341,777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320" w:type="dxa"/>
            <w:vAlign w:val="bottom"/>
            <w:vMerge w:val="restart"/>
          </w:tcPr>
          <w:p>
            <w:pPr>
              <w:ind w:left="5060"/>
              <w:spacing w:after="0"/>
              <w:rPr>
                <w:sz w:val="20"/>
                <w:szCs w:val="20"/>
                <w:color w:val="auto"/>
              </w:rPr>
            </w:pPr>
            <w:r>
              <w:rPr>
                <w:rFonts w:ascii="Times New Roman" w:cs="Times New Roman" w:eastAsia="Times New Roman" w:hAnsi="Times New Roman"/>
                <w:sz w:val="13"/>
                <w:szCs w:val="13"/>
                <w:color w:val="auto"/>
              </w:rPr>
              <w:t>F-23</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40" w:type="dxa"/>
            <w:vAlign w:val="bottom"/>
          </w:tcPr>
          <w:p>
            <w:pPr>
              <w:spacing w:after="0"/>
              <w:rPr>
                <w:sz w:val="24"/>
                <w:szCs w:val="24"/>
                <w:color w:val="auto"/>
              </w:rPr>
            </w:pPr>
          </w:p>
        </w:tc>
        <w:tc>
          <w:tcPr>
            <w:tcW w:w="83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40" w:type="dxa"/>
            <w:vAlign w:val="bottom"/>
            <w:tcBorders>
              <w:bottom w:val="single" w:sz="8" w:color="auto"/>
            </w:tcBorders>
          </w:tcPr>
          <w:p>
            <w:pPr>
              <w:spacing w:after="0"/>
              <w:rPr>
                <w:sz w:val="3"/>
                <w:szCs w:val="3"/>
                <w:color w:val="auto"/>
              </w:rPr>
            </w:pPr>
          </w:p>
        </w:tc>
        <w:tc>
          <w:tcPr>
            <w:tcW w:w="8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1"/>
          </w:cols>
          <w:pgMar w:left="319" w:top="115" w:right="339" w:bottom="1440" w:gutter="0" w:footer="0" w:header="0"/>
        </w:sectPr>
      </w:pPr>
    </w:p>
    <w:bookmarkStart w:id="79" w:name="page80"/>
    <w:bookmarkEnd w:id="79"/>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401" w:hanging="401"/>
        <w:spacing w:after="0"/>
        <w:tabs>
          <w:tab w:leader="none" w:pos="401"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01" w:lineRule="exact"/>
        <w:rPr>
          <w:sz w:val="20"/>
          <w:szCs w:val="20"/>
          <w:color w:val="auto"/>
        </w:rPr>
      </w:pPr>
    </w:p>
    <w:p>
      <w:pPr>
        <w:ind w:left="201"/>
        <w:spacing w:after="0"/>
        <w:rPr>
          <w:sz w:val="20"/>
          <w:szCs w:val="20"/>
          <w:color w:val="auto"/>
        </w:rPr>
      </w:pPr>
      <w:r>
        <w:rPr>
          <w:rFonts w:ascii="Times New Roman" w:cs="Times New Roman" w:eastAsia="Times New Roman" w:hAnsi="Times New Roman"/>
          <w:sz w:val="17"/>
          <w:szCs w:val="17"/>
          <w:b w:val="1"/>
          <w:bCs w:val="1"/>
          <w:i w:val="1"/>
          <w:iCs w:val="1"/>
          <w:color w:val="auto"/>
        </w:rPr>
        <w:t>Lease Commitments</w:t>
      </w:r>
    </w:p>
    <w:p>
      <w:pPr>
        <w:spacing w:after="0" w:line="205"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The Company has one operating lease for its office space which was amended effective March 1, 2022 for a term of 38 months with no residual value guarantees or</w:t>
      </w:r>
    </w:p>
    <w:p>
      <w:pPr>
        <w:spacing w:after="0" w:line="43"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material restrictive covenants. The amended lease provided for free rent for the first six and one-half months of the lease and continues the security deposit of</w:t>
      </w:r>
    </w:p>
    <w:p>
      <w:pPr>
        <w:spacing w:after="0" w:line="3"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$6,000. In addition to base rental payments included in the contractual obligations table below, the Company is responsible for our pro-rata share of the operating</w:t>
      </w:r>
    </w:p>
    <w:p>
      <w:pPr>
        <w:spacing w:after="0" w:line="2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expenses for the building. Our lease cost for the years ended December 31, 2024 and 2023 was $44,000 and $44,000, respectively, and is included in general and</w:t>
      </w:r>
    </w:p>
    <w:p>
      <w:pPr>
        <w:spacing w:after="0" w:line="2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administrative expenses. As of December 31, 2024, the right to use lease asset consisted of $16,000 and is included in other assets. Also, at December 31, 2024,</w:t>
      </w:r>
    </w:p>
    <w:p>
      <w:pPr>
        <w:spacing w:after="0" w:line="2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current lease liability of $19,000 is included in accrued expenses. As of December 31, 2023, the right to use lease asset consisted of $46,000 and is included in</w:t>
      </w:r>
    </w:p>
    <w:p>
      <w:pPr>
        <w:spacing w:after="0" w:line="3"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other assets. Also, at December 31, 2023, current lease liability of $46,000 is included in accrued expenses and the noncurrent lease liability of $20,000 is included</w:t>
      </w:r>
    </w:p>
    <w:p>
      <w:pPr>
        <w:spacing w:after="0" w:line="2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in other long term liabilities. The Company renewed its existing office space lease effective in March 2025 for twelve months at substantially the same terms.</w:t>
      </w:r>
    </w:p>
    <w:p>
      <w:pPr>
        <w:spacing w:after="0" w:line="185" w:lineRule="exact"/>
        <w:rPr>
          <w:sz w:val="20"/>
          <w:szCs w:val="20"/>
          <w:color w:val="auto"/>
        </w:rPr>
      </w:pPr>
    </w:p>
    <w:tbl>
      <w:tblPr>
        <w:tblLayout w:type="fixed"/>
        <w:tblInd w:w="401" w:type="dxa"/>
        <w:tblCellMar>
          <w:top w:w="0" w:type="dxa"/>
          <w:left w:w="0" w:type="dxa"/>
          <w:bottom w:w="0" w:type="dxa"/>
          <w:right w:w="0" w:type="dxa"/>
        </w:tblCellMar>
      </w:tblPr>
      <w:tr>
        <w:trPr>
          <w:trHeight w:val="215"/>
        </w:trPr>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Maturity of operating lease as of December 31, 2024 in thousands: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vMerge w:val="restart"/>
          </w:tcPr>
          <w:p>
            <w:pPr>
              <w:spacing w:after="0"/>
              <w:rPr>
                <w:sz w:val="17"/>
                <w:szCs w:val="17"/>
                <w:color w:val="auto"/>
              </w:rPr>
            </w:pPr>
          </w:p>
        </w:tc>
        <w:tc>
          <w:tcPr>
            <w:tcW w:w="9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vMerge w:val="continue"/>
          </w:tcPr>
          <w:p>
            <w:pPr>
              <w:spacing w:after="0"/>
              <w:rPr>
                <w:sz w:val="17"/>
                <w:szCs w:val="17"/>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4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7"/>
                <w:szCs w:val="17"/>
                <w:color w:val="auto"/>
              </w:rPr>
              <w:t>Present value of lease liability</w:t>
            </w:r>
          </w:p>
        </w:tc>
        <w:tc>
          <w:tcPr>
            <w:tcW w:w="4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The discount rate used in calculating the present value of the lease payments was 11%.</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80" w:name="page81"/>
    <w:bookmarkEnd w:id="80"/>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2" w:lineRule="exact"/>
        <w:rPr>
          <w:sz w:val="20"/>
          <w:szCs w:val="20"/>
          <w:color w:val="auto"/>
        </w:rPr>
      </w:pPr>
    </w:p>
    <w:p>
      <w:pPr>
        <w:ind w:left="201"/>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05" w:lineRule="exact"/>
        <w:rPr>
          <w:sz w:val="20"/>
          <w:szCs w:val="20"/>
          <w:color w:val="auto"/>
        </w:rPr>
      </w:pPr>
    </w:p>
    <w:p>
      <w:pPr>
        <w:ind w:left="401" w:right="440"/>
        <w:spacing w:after="0" w:line="267" w:lineRule="auto"/>
        <w:rPr>
          <w:sz w:val="20"/>
          <w:szCs w:val="20"/>
          <w:color w:val="auto"/>
        </w:rPr>
      </w:pPr>
      <w:r>
        <w:rPr>
          <w:rFonts w:ascii="Times New Roman" w:cs="Times New Roman" w:eastAsia="Times New Roman" w:hAnsi="Times New Roman"/>
          <w:sz w:val="17"/>
          <w:szCs w:val="17"/>
          <w:color w:val="auto"/>
        </w:rPr>
        <w:t>The Company records accruals for such contingencies to the extent that the Company concludes that their occurrence is probable and the related damages are estimable. There are no pending legal proceedings.</w:t>
      </w:r>
    </w:p>
    <w:p>
      <w:pPr>
        <w:spacing w:after="0" w:line="156" w:lineRule="exact"/>
        <w:rPr>
          <w:sz w:val="20"/>
          <w:szCs w:val="20"/>
          <w:color w:val="auto"/>
        </w:rPr>
      </w:pPr>
    </w:p>
    <w:p>
      <w:pPr>
        <w:ind w:left="201"/>
        <w:spacing w:after="0"/>
        <w:rPr>
          <w:sz w:val="20"/>
          <w:szCs w:val="20"/>
          <w:color w:val="auto"/>
        </w:rPr>
      </w:pPr>
      <w:r>
        <w:rPr>
          <w:rFonts w:ascii="Times New Roman" w:cs="Times New Roman" w:eastAsia="Times New Roman" w:hAnsi="Times New Roman"/>
          <w:sz w:val="17"/>
          <w:szCs w:val="17"/>
          <w:b w:val="1"/>
          <w:bCs w:val="1"/>
          <w:i w:val="1"/>
          <w:iCs w:val="1"/>
          <w:color w:val="auto"/>
        </w:rPr>
        <w:t>Clinical Trial and Research Contingencies</w:t>
      </w:r>
    </w:p>
    <w:p>
      <w:pPr>
        <w:spacing w:after="0" w:line="205" w:lineRule="exact"/>
        <w:rPr>
          <w:sz w:val="20"/>
          <w:szCs w:val="20"/>
          <w:color w:val="auto"/>
        </w:rPr>
      </w:pPr>
    </w:p>
    <w:p>
      <w:pPr>
        <w:ind w:left="401"/>
        <w:spacing w:after="0" w:line="249" w:lineRule="auto"/>
        <w:rPr>
          <w:sz w:val="20"/>
          <w:szCs w:val="20"/>
          <w:color w:val="auto"/>
        </w:rPr>
      </w:pPr>
      <w:r>
        <w:rPr>
          <w:rFonts w:ascii="Times New Roman" w:cs="Times New Roman" w:eastAsia="Times New Roman" w:hAnsi="Times New Roman"/>
          <w:sz w:val="17"/>
          <w:szCs w:val="17"/>
          <w:color w:val="auto"/>
        </w:rPr>
        <w:t>The Company has entered into agreements with contractors for research and development activities to further its product candidates. The contracts generally may be canceled at any time by providing thirty days’ notice. The Company is involved in a dispute with a contract vendor for clinical trial management services provided outside of the United States. The contract in question is a variable contract. The Company has accrued its estimate of the amount owed to the contract vendor. The contract vendor asserts that it is owed approximately $1 million more than the Company’s estimate. The Company disagrees with the contract vendor’s assertion, and did not accrue that additional amount at December 31, 2024.</w:t>
      </w:r>
    </w:p>
    <w:p>
      <w:pPr>
        <w:spacing w:after="0" w:line="173" w:lineRule="exact"/>
        <w:rPr>
          <w:sz w:val="20"/>
          <w:szCs w:val="20"/>
          <w:color w:val="auto"/>
        </w:rPr>
      </w:pPr>
    </w:p>
    <w:p>
      <w:pPr>
        <w:ind w:left="441" w:hanging="441"/>
        <w:spacing w:after="0"/>
        <w:tabs>
          <w:tab w:leader="none" w:pos="441"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Galectin Sciences LLC</w:t>
      </w:r>
    </w:p>
    <w:p>
      <w:pPr>
        <w:spacing w:after="0" w:line="205" w:lineRule="exact"/>
        <w:rPr>
          <w:sz w:val="20"/>
          <w:szCs w:val="20"/>
          <w:color w:val="auto"/>
        </w:rPr>
      </w:pPr>
    </w:p>
    <w:p>
      <w:pPr>
        <w:ind w:left="401"/>
        <w:spacing w:after="0" w:line="245" w:lineRule="auto"/>
        <w:rPr>
          <w:sz w:val="20"/>
          <w:szCs w:val="20"/>
          <w:color w:val="auto"/>
        </w:rPr>
      </w:pPr>
      <w:r>
        <w:rPr>
          <w:rFonts w:ascii="Times New Roman" w:cs="Times New Roman" w:eastAsia="Times New Roman" w:hAnsi="Times New Roman"/>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and an additional $2,552,000 in total from 2015 through 2021. The Company contributed $350,000 and $561,000 for the LLC expenses (recorded in research and development expenses) in 2024 and 2023, and SBH has contributed a total of $711,000 since 2014. As of December 31, 2024, the Company’s ownership percentage in the LLC was 85.3%.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8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14.  Income Taxes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87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The components of the net deferred tax assets are as follows at December 31: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(in</w:t>
            </w:r>
          </w:p>
        </w:tc>
        <w:tc>
          <w:tcPr>
            <w:tcW w:w="12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63,057</w:t>
            </w:r>
          </w:p>
        </w:tc>
        <w:tc>
          <w:tcPr>
            <w:tcW w:w="2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61,427</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credit carryforwards</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6,476</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temporary differences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10,533</w:t>
            </w: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4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90,343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78,436</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valuation allowance</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(78,436)</w:t>
            </w: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deferred tax asset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auto"/>
              </w:rPr>
              <w:t>The primary factors affecting the Company’s income tax rates were as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7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benefit at U.S. statutory rates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 tax benefit</w:t>
            </w:r>
          </w:p>
        </w:tc>
        <w:tc>
          <w:tcPr>
            <w:tcW w:w="160" w:type="dxa"/>
            <w:vAlign w:val="bottom"/>
          </w:tcPr>
          <w:p>
            <w:pPr>
              <w:spacing w:after="0"/>
              <w:rPr>
                <w:sz w:val="17"/>
                <w:szCs w:val="17"/>
                <w:color w:val="auto"/>
              </w:rPr>
            </w:pPr>
          </w:p>
        </w:tc>
        <w:tc>
          <w:tcPr>
            <w:tcW w:w="1060" w:type="dxa"/>
            <w:vAlign w:val="bottom"/>
            <w:gridSpan w:val="3"/>
          </w:tcPr>
          <w:p>
            <w:pPr>
              <w:jc w:val="right"/>
              <w:ind w:right="17"/>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Permanent differences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17"/>
                <w:szCs w:val="17"/>
                <w:color w:val="auto"/>
              </w:rPr>
            </w:pPr>
          </w:p>
        </w:tc>
        <w:tc>
          <w:tcPr>
            <w:tcW w:w="1060" w:type="dxa"/>
            <w:vAlign w:val="bottom"/>
            <w:gridSpan w:val="3"/>
          </w:tcPr>
          <w:p>
            <w:pPr>
              <w:jc w:val="right"/>
              <w:ind w:right="17"/>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4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40" w:type="dxa"/>
            <w:vAlign w:val="bottom"/>
          </w:tcPr>
          <w:p>
            <w:pPr>
              <w:spacing w:after="0"/>
              <w:rPr>
                <w:sz w:val="24"/>
                <w:szCs w:val="24"/>
                <w:color w:val="auto"/>
              </w:rPr>
            </w:pPr>
          </w:p>
        </w:tc>
        <w:tc>
          <w:tcPr>
            <w:tcW w:w="8320" w:type="dxa"/>
            <w:vAlign w:val="bottom"/>
            <w:gridSpan w:val="2"/>
          </w:tcPr>
          <w:p>
            <w:pPr>
              <w:ind w:left="5060"/>
              <w:spacing w:after="0"/>
              <w:rPr>
                <w:sz w:val="20"/>
                <w:szCs w:val="20"/>
                <w:color w:val="auto"/>
              </w:rPr>
            </w:pPr>
            <w:r>
              <w:rPr>
                <w:rFonts w:ascii="Times New Roman" w:cs="Times New Roman" w:eastAsia="Times New Roman" w:hAnsi="Times New Roman"/>
                <w:sz w:val="13"/>
                <w:szCs w:val="13"/>
                <w:color w:val="auto"/>
              </w:rPr>
              <w:t>F-25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4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1"/>
          </w:cols>
          <w:pgMar w:left="319" w:top="115" w:right="339" w:bottom="1440" w:gutter="0" w:footer="0" w:header="0"/>
        </w:sectPr>
      </w:pPr>
    </w:p>
    <w:bookmarkStart w:id="81" w:name="page82"/>
    <w:bookmarkEnd w:id="81"/>
    <w:p>
      <w:pPr>
        <w:ind w:left="1"/>
        <w:spacing w:after="0"/>
        <w:rPr>
          <w:sz w:val="20"/>
          <w:szCs w:val="20"/>
          <w:color w:val="auto"/>
        </w:rPr>
      </w:pPr>
      <w:r>
        <w:rPr>
          <w:rFonts w:ascii="Times New Roman" w:cs="Times New Roman" w:eastAsia="Times New Roman" w:hAnsi="Times New Roman"/>
          <w:sz w:val="13"/>
          <w:szCs w:val="13"/>
          <w:b w:val="1"/>
          <w:bCs w:val="1"/>
          <w:i w:val="1"/>
          <w:iCs w:val="1"/>
          <w:u w:val="single" w:color="auto"/>
          <w:color w:val="0000EE"/>
        </w:rPr>
        <w:t>Index</w:t>
      </w:r>
    </w:p>
    <w:p>
      <w:pPr>
        <w:spacing w:after="0" w:line="15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As of December 31, 2024, the Company has federal and state net operating loss carryforwards totaling $131,579,000 and $137,878,000, respectively, which will</w:t>
      </w:r>
    </w:p>
    <w:p>
      <w:pPr>
        <w:spacing w:after="0" w:line="43"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never expire as a result of the 2017 Tax Act. As of December 31, 2023, the Company has federal and state net operating loss carryforwards totaling $120,055,000</w:t>
      </w:r>
    </w:p>
    <w:p>
      <w:pPr>
        <w:spacing w:after="0" w:line="2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and $102,003,000 respectively, which expire through 2037. In addition, the Company has federal and state research and development credits of $7,764,000 and</w:t>
      </w:r>
    </w:p>
    <w:p>
      <w:pPr>
        <w:spacing w:after="0" w:line="2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$1,245,000, respectively, which expire through 2042. Ownership changes, as defined by Section 382 of the Internal Revenue Code, may have limited the amount of</w:t>
      </w:r>
    </w:p>
    <w:p>
      <w:pPr>
        <w:spacing w:after="0" w:line="2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net operating loss carryforwards that can be utilized annually to offset future taxable income. Past and subsequent ownership changes could further affect the</w:t>
      </w:r>
    </w:p>
    <w:p>
      <w:pPr>
        <w:spacing w:after="0" w:line="3"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5"/>
          <w:szCs w:val="15"/>
          <w:color w:val="auto"/>
        </w:rPr>
        <w:t>limitation in future years. Because of the Company’s limited operating history and its recorded losses, management has provided, in each of the last two years, a</w:t>
      </w:r>
    </w:p>
    <w:p>
      <w:pPr>
        <w:spacing w:after="0" w:line="26"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100% valuation allowance against the Company’s net deferred tax assets.</w:t>
      </w:r>
    </w:p>
    <w:p>
      <w:pPr>
        <w:spacing w:after="0" w:line="185" w:lineRule="exact"/>
        <w:rPr>
          <w:sz w:val="20"/>
          <w:szCs w:val="20"/>
          <w:color w:val="auto"/>
        </w:rPr>
      </w:pPr>
    </w:p>
    <w:p>
      <w:pPr>
        <w:ind w:left="401" w:right="580"/>
        <w:spacing w:after="0" w:line="255" w:lineRule="auto"/>
        <w:rPr>
          <w:sz w:val="20"/>
          <w:szCs w:val="20"/>
          <w:color w:val="auto"/>
        </w:rPr>
      </w:pPr>
      <w:r>
        <w:rPr>
          <w:rFonts w:ascii="Times New Roman" w:cs="Times New Roman" w:eastAsia="Times New Roman" w:hAnsi="Times New Roman"/>
          <w:sz w:val="17"/>
          <w:szCs w:val="17"/>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2024 and 2023, the Company does not have any significant uncertain tax positions.</w:t>
      </w:r>
    </w:p>
    <w:p>
      <w:pPr>
        <w:spacing w:after="0" w:line="167" w:lineRule="exact"/>
        <w:rPr>
          <w:sz w:val="20"/>
          <w:szCs w:val="20"/>
          <w:color w:val="auto"/>
        </w:rPr>
      </w:pPr>
    </w:p>
    <w:p>
      <w:pPr>
        <w:ind w:left="441" w:hanging="441"/>
        <w:spacing w:after="0"/>
        <w:tabs>
          <w:tab w:leader="none" w:pos="441"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Segments</w:t>
      </w:r>
    </w:p>
    <w:p>
      <w:pPr>
        <w:spacing w:after="0" w:line="205" w:lineRule="exact"/>
        <w:rPr>
          <w:sz w:val="20"/>
          <w:szCs w:val="20"/>
          <w:color w:val="auto"/>
        </w:rPr>
      </w:pPr>
    </w:p>
    <w:p>
      <w:pPr>
        <w:ind w:left="301" w:right="120"/>
        <w:spacing w:after="0" w:line="295" w:lineRule="auto"/>
        <w:rPr>
          <w:sz w:val="20"/>
          <w:szCs w:val="20"/>
          <w:color w:val="auto"/>
        </w:rPr>
      </w:pPr>
      <w:r>
        <w:rPr>
          <w:rFonts w:ascii="Times New Roman" w:cs="Times New Roman" w:eastAsia="Times New Roman" w:hAnsi="Times New Roman"/>
          <w:sz w:val="15"/>
          <w:szCs w:val="15"/>
          <w:color w:val="auto"/>
        </w:rPr>
        <w:t>Operating segments are identified as components of an entity about which separate discrete financial information is available for evaluation by the CODM, or decision-making group, in making decisions on how to allocate resources and assess performance. The Company’s CODM, the Chief Executive Officer, views the Company’s operations as one operating segment, which is focused on creating new therapies for fibrotic disease based on targeting galectin proteins. The Company does not have revenue in the current comparative period, incurs expenses primarily in North America and manages the business activities on a consolidated basis.</w:t>
      </w:r>
    </w:p>
    <w:p>
      <w:pPr>
        <w:spacing w:after="0" w:line="144"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The accounting policies of the fibrotic disease therapeutics segment are the same as those described in the summary of significant accounting policies.</w:t>
      </w:r>
    </w:p>
    <w:p>
      <w:pPr>
        <w:spacing w:after="0" w:line="201" w:lineRule="exact"/>
        <w:rPr>
          <w:sz w:val="20"/>
          <w:szCs w:val="20"/>
          <w:color w:val="auto"/>
        </w:rPr>
      </w:pPr>
    </w:p>
    <w:p>
      <w:pPr>
        <w:jc w:val="both"/>
        <w:ind w:left="301"/>
        <w:spacing w:after="0" w:line="267" w:lineRule="auto"/>
        <w:rPr>
          <w:sz w:val="20"/>
          <w:szCs w:val="20"/>
          <w:color w:val="auto"/>
        </w:rPr>
      </w:pPr>
      <w:r>
        <w:rPr>
          <w:rFonts w:ascii="Times New Roman" w:cs="Times New Roman" w:eastAsia="Times New Roman" w:hAnsi="Times New Roman"/>
          <w:sz w:val="17"/>
          <w:szCs w:val="17"/>
          <w:color w:val="auto"/>
        </w:rPr>
        <w:t>The CODM assesses performance for the fibrotic disease therapeutics segment and decides how to allocate resources based on net loss that also is reported on the income statement as consolidated net loss. The measure of segment assets is reported on the balance sheet as cash and cash equivalents.</w:t>
      </w:r>
    </w:p>
    <w:p>
      <w:pPr>
        <w:spacing w:after="0" w:line="160" w:lineRule="exact"/>
        <w:rPr>
          <w:sz w:val="20"/>
          <w:szCs w:val="20"/>
          <w:color w:val="auto"/>
        </w:rPr>
      </w:pPr>
    </w:p>
    <w:p>
      <w:pPr>
        <w:jc w:val="both"/>
        <w:ind w:left="301"/>
        <w:spacing w:after="0" w:line="267" w:lineRule="auto"/>
        <w:rPr>
          <w:sz w:val="20"/>
          <w:szCs w:val="20"/>
          <w:color w:val="auto"/>
        </w:rPr>
      </w:pPr>
      <w:r>
        <w:rPr>
          <w:rFonts w:ascii="Times New Roman" w:cs="Times New Roman" w:eastAsia="Times New Roman" w:hAnsi="Times New Roman"/>
          <w:sz w:val="17"/>
          <w:szCs w:val="17"/>
          <w:color w:val="auto"/>
        </w:rPr>
        <w:t>The Company has not generated any product revenue in the current period and expects to continue to incur significant expenses and operating losses for the foreseeable future as the Company advances its product candidates through all stages of development and clinical trials.</w:t>
      </w:r>
    </w:p>
    <w:p>
      <w:pPr>
        <w:spacing w:after="0" w:line="160" w:lineRule="exact"/>
        <w:rPr>
          <w:sz w:val="20"/>
          <w:szCs w:val="20"/>
          <w:color w:val="auto"/>
        </w:rPr>
      </w:pPr>
    </w:p>
    <w:p>
      <w:pPr>
        <w:jc w:val="both"/>
        <w:ind w:left="301"/>
        <w:spacing w:after="0" w:line="255" w:lineRule="auto"/>
        <w:rPr>
          <w:sz w:val="20"/>
          <w:szCs w:val="20"/>
          <w:color w:val="auto"/>
        </w:rPr>
      </w:pPr>
      <w:r>
        <w:rPr>
          <w:rFonts w:ascii="Times New Roman" w:cs="Times New Roman" w:eastAsia="Times New Roman" w:hAnsi="Times New Roman"/>
          <w:sz w:val="17"/>
          <w:szCs w:val="17"/>
          <w:color w:val="auto"/>
        </w:rPr>
        <w:t>As such, the CODM uses cash forecast models in deciding how to invest into the fibrotic disease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171"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5"/>
          <w:szCs w:val="15"/>
          <w:color w:val="auto"/>
        </w:rPr>
        <w:t>The table below summarizes the significant expense categories regularly reviewed by the CODM for the years ended December 31, 2024 and 2023 (in thousands).</w:t>
      </w:r>
    </w:p>
    <w:p>
      <w:pPr>
        <w:spacing w:after="0" w:line="220" w:lineRule="exact"/>
        <w:rPr>
          <w:sz w:val="20"/>
          <w:szCs w:val="20"/>
          <w:color w:val="auto"/>
        </w:rPr>
      </w:pPr>
    </w:p>
    <w:tbl>
      <w:tblPr>
        <w:tblLayout w:type="fixed"/>
        <w:tblInd w:w="141"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5"/>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88"/>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5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Borders>
              <w:bottom w:val="single" w:sz="8" w:color="auto"/>
            </w:tcBorders>
          </w:tcPr>
          <w:p>
            <w:pPr>
              <w:jc w:val="right"/>
              <w:ind w:right="117"/>
              <w:spacing w:after="0" w:line="161" w:lineRule="exact"/>
              <w:rPr>
                <w:sz w:val="20"/>
                <w:szCs w:val="20"/>
                <w:color w:val="auto"/>
              </w:rPr>
            </w:pPr>
            <w:r>
              <w:rPr>
                <w:rFonts w:ascii="Times New Roman" w:cs="Times New Roman" w:eastAsia="Times New Roman" w:hAnsi="Times New Roman"/>
                <w:sz w:val="17"/>
                <w:szCs w:val="17"/>
                <w:b w:val="1"/>
                <w:bCs w:val="1"/>
                <w:color w:val="auto"/>
                <w:w w:val="90"/>
              </w:rPr>
              <w:t>(in</w:t>
            </w:r>
          </w:p>
        </w:tc>
        <w:tc>
          <w:tcPr>
            <w:tcW w:w="620" w:type="dxa"/>
            <w:vAlign w:val="bottom"/>
            <w:tcBorders>
              <w:bottom w:val="single" w:sz="8" w:color="auto"/>
            </w:tcBorders>
            <w:gridSpan w:val="4"/>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w w:val="75"/>
              </w:rPr>
              <w:t>thousands)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36,571</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42,433</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loss</w:t>
            </w:r>
          </w:p>
        </w:tc>
        <w:tc>
          <w:tcPr>
            <w:tcW w:w="240" w:type="dxa"/>
            <w:vAlign w:val="bottom"/>
          </w:tcPr>
          <w:p>
            <w:pPr>
              <w:spacing w:after="0"/>
              <w:rPr>
                <w:sz w:val="17"/>
                <w:szCs w:val="17"/>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(42,433)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(38,072)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(5,540)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derivatives</w:t>
            </w:r>
          </w:p>
        </w:tc>
        <w:tc>
          <w:tcPr>
            <w:tcW w:w="2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expense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(4,614)</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(47,047)</w:t>
            </w:r>
          </w:p>
        </w:tc>
        <w:tc>
          <w:tcPr>
            <w:tcW w:w="48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(41,066)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Warrant modification</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(3,619)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applicable to common stockholders</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(47,200)</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(44,805)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Other segment items included in segment loss includes interest income and interest expense.</w:t>
      </w:r>
    </w:p>
    <w:p>
      <w:pPr>
        <w:spacing w:after="0" w:line="201"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5"/>
          <w:szCs w:val="15"/>
          <w:color w:val="auto"/>
        </w:rPr>
        <w:t>The Company is a single operating segment and therefore the measure of segment net loss is the same as consolidated net loss and does not require reconciliation.</w:t>
      </w:r>
    </w:p>
    <w:p>
      <w:pPr>
        <w:spacing w:after="0" w:line="224" w:lineRule="exact"/>
        <w:rPr>
          <w:sz w:val="20"/>
          <w:szCs w:val="20"/>
          <w:color w:val="auto"/>
        </w:rPr>
      </w:pPr>
    </w:p>
    <w:p>
      <w:pPr>
        <w:ind w:left="301"/>
        <w:spacing w:after="0" w:line="267" w:lineRule="auto"/>
        <w:rPr>
          <w:sz w:val="20"/>
          <w:szCs w:val="20"/>
          <w:color w:val="auto"/>
        </w:rPr>
      </w:pPr>
      <w:r>
        <w:rPr>
          <w:rFonts w:ascii="Times New Roman" w:cs="Times New Roman" w:eastAsia="Times New Roman" w:hAnsi="Times New Roman"/>
          <w:sz w:val="17"/>
          <w:szCs w:val="17"/>
          <w:color w:val="auto"/>
        </w:rPr>
        <w:t>For the years ended December 31, 2024 and 2023, the net cash used in operating activities was $41.8 million and $33.0 million, respectively. The table below summarizes the significant asset categories regularly reviewed by the CODM for the years ended December 31, 2024 and 2023 (in thousands).</w:t>
      </w:r>
    </w:p>
    <w:p>
      <w:pPr>
        <w:spacing w:after="0" w:line="156" w:lineRule="exact"/>
        <w:rPr>
          <w:sz w:val="20"/>
          <w:szCs w:val="20"/>
          <w:color w:val="auto"/>
        </w:rPr>
      </w:pPr>
    </w:p>
    <w:tbl>
      <w:tblPr>
        <w:tblLayout w:type="fixed"/>
        <w:tblInd w:w="301" w:type="dxa"/>
        <w:tblCellMar>
          <w:top w:w="0" w:type="dxa"/>
          <w:left w:w="0" w:type="dxa"/>
          <w:bottom w:w="0" w:type="dxa"/>
          <w:right w:w="0" w:type="dxa"/>
        </w:tblCellMar>
      </w:tblPr>
      <w:tr>
        <w:trPr>
          <w:trHeight w:val="224"/>
        </w:trPr>
        <w:tc>
          <w:tcPr>
            <w:tcW w:w="8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7"/>
                <w:szCs w:val="17"/>
                <w:color w:val="auto"/>
              </w:rPr>
            </w:pPr>
          </w:p>
        </w:tc>
      </w:tr>
      <w:tr>
        <w:trPr>
          <w:trHeight w:val="198"/>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(in</w:t>
            </w:r>
          </w:p>
        </w:tc>
        <w:tc>
          <w:tcPr>
            <w:tcW w:w="1300" w:type="dxa"/>
            <w:vAlign w:val="bottom"/>
            <w:gridSpan w:val="4"/>
          </w:tcPr>
          <w:p>
            <w:pPr>
              <w:jc w:val="right"/>
              <w:ind w:right="617"/>
              <w:spacing w:after="0"/>
              <w:rPr>
                <w:sz w:val="20"/>
                <w:szCs w:val="20"/>
                <w:color w:val="auto"/>
              </w:rPr>
            </w:pPr>
            <w:r>
              <w:rPr>
                <w:rFonts w:ascii="Times New Roman" w:cs="Times New Roman" w:eastAsia="Times New Roman" w:hAnsi="Times New Roman"/>
                <w:sz w:val="17"/>
                <w:szCs w:val="17"/>
                <w:b w:val="1"/>
                <w:bCs w:val="1"/>
                <w:color w:val="auto"/>
                <w:w w:val="73"/>
              </w:rPr>
              <w:t>thousands)</w:t>
            </w:r>
          </w:p>
        </w:tc>
        <w:tc>
          <w:tcPr>
            <w:tcW w:w="100" w:type="dxa"/>
            <w:vAlign w:val="bottom"/>
          </w:tcPr>
          <w:p>
            <w:pPr>
              <w:spacing w:after="0"/>
              <w:rPr>
                <w:sz w:val="17"/>
                <w:szCs w:val="17"/>
                <w:color w:val="auto"/>
              </w:rPr>
            </w:pPr>
          </w:p>
        </w:tc>
      </w:tr>
      <w:tr>
        <w:trPr>
          <w:trHeight w:val="19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15,120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25,660</w:t>
            </w:r>
          </w:p>
        </w:tc>
      </w:tr>
    </w:tbl>
    <w:p>
      <w:pPr>
        <w:spacing w:after="0" w:line="178" w:lineRule="exact"/>
        <w:rPr>
          <w:sz w:val="20"/>
          <w:szCs w:val="20"/>
          <w:color w:val="auto"/>
        </w:rPr>
      </w:pPr>
    </w:p>
    <w:p>
      <w:pPr>
        <w:ind w:left="441" w:hanging="441"/>
        <w:spacing w:after="0"/>
        <w:tabs>
          <w:tab w:leader="none" w:pos="441"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w:t>
      </w:r>
    </w:p>
    <w:p>
      <w:pPr>
        <w:spacing w:after="0" w:line="205" w:lineRule="exact"/>
        <w:rPr>
          <w:sz w:val="20"/>
          <w:szCs w:val="20"/>
          <w:color w:val="auto"/>
        </w:rPr>
      </w:pPr>
    </w:p>
    <w:p>
      <w:pPr>
        <w:ind w:left="381" w:right="240"/>
        <w:spacing w:after="0" w:line="249" w:lineRule="auto"/>
        <w:rPr>
          <w:sz w:val="20"/>
          <w:szCs w:val="20"/>
          <w:color w:val="auto"/>
        </w:rPr>
      </w:pPr>
      <w:r>
        <w:rPr>
          <w:rFonts w:ascii="Times New Roman" w:cs="Times New Roman" w:eastAsia="Times New Roman" w:hAnsi="Times New Roman"/>
          <w:sz w:val="17"/>
          <w:szCs w:val="17"/>
          <w:color w:val="auto"/>
        </w:rPr>
        <w:t>On March 31, 2025, the Company and Richard E. Uihlein (the “Lender”) entered into a Supplemental Line of Credit Letter Agreement (the “March 2025 Supplemental Credit Agreement”), pursuant to which the Lender shall provide the Company a line of credit of up to $5.0 million (the “Supplemental Line of Credit”) to finance the Company’s working capital needs. The Company may draw upon the Supplemental Line of Credit through September 30, 2025. In connection with entering into the March 2025 Supplemental Line of Credit, the Company agreed to extend the maturity date of the Convertible Promissory Note dated April 16, 2021 from April 16, 2025 to September 30, 2025.</w:t>
      </w:r>
    </w:p>
    <w:p>
      <w:pPr>
        <w:spacing w:after="0" w:line="177" w:lineRule="exact"/>
        <w:rPr>
          <w:sz w:val="20"/>
          <w:szCs w:val="20"/>
          <w:color w:val="auto"/>
        </w:rPr>
      </w:pPr>
    </w:p>
    <w:p>
      <w:pPr>
        <w:ind w:left="381" w:right="80"/>
        <w:spacing w:after="0" w:line="251" w:lineRule="auto"/>
        <w:rPr>
          <w:sz w:val="20"/>
          <w:szCs w:val="20"/>
          <w:color w:val="auto"/>
        </w:rPr>
      </w:pPr>
      <w:r>
        <w:rPr>
          <w:rFonts w:ascii="Times New Roman" w:cs="Times New Roman" w:eastAsia="Times New Roman" w:hAnsi="Times New Roman"/>
          <w:sz w:val="17"/>
          <w:szCs w:val="17"/>
          <w:color w:val="auto"/>
        </w:rPr>
        <w:t>Each advance made pursuant to the March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Only with the consent of the Lender, may the Promissory Notes be prepaid, in whole or in part, at any time without premium or penalty, but with interest on the amount or amounts prepaid.</w:t>
      </w:r>
    </w:p>
    <w:p>
      <w:pPr>
        <w:spacing w:after="0" w:line="174" w:lineRule="exact"/>
        <w:rPr>
          <w:sz w:val="20"/>
          <w:szCs w:val="20"/>
          <w:color w:val="auto"/>
        </w:rPr>
      </w:pPr>
    </w:p>
    <w:p>
      <w:pPr>
        <w:ind w:left="381" w:right="160"/>
        <w:spacing w:after="0" w:line="335" w:lineRule="auto"/>
        <w:rPr>
          <w:sz w:val="20"/>
          <w:szCs w:val="20"/>
          <w:color w:val="auto"/>
        </w:rPr>
      </w:pPr>
      <w:r>
        <w:rPr>
          <w:rFonts w:ascii="Times New Roman" w:cs="Times New Roman" w:eastAsia="Times New Roman" w:hAnsi="Times New Roman"/>
          <w:sz w:val="15"/>
          <w:szCs w:val="15"/>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w:t>
      </w:r>
    </w:p>
    <w:p>
      <w:pPr>
        <w:sectPr>
          <w:pgSz w:w="11900" w:h="16838" w:orient="portrait"/>
          <w:cols w:equalWidth="0" w:num="1">
            <w:col w:w="11241"/>
          </w:cols>
          <w:pgMar w:left="319" w:top="115" w:right="339" w:bottom="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such Promissory Note, but in no event less than $3.00 per share.</w:t>
      </w:r>
    </w:p>
    <w:p>
      <w:pPr>
        <w:spacing w:after="0" w:line="20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In connection with the March 2025 Supplemental Credit Agreement, the Company agreed to issue the Lender warrants to purchase up to an aggregate of 100,000 shares of the Company’s common stock, par value $0.001 per share (collectively, the “Warrants”). The Company shall issue to the Lender Warrants ratably, upon borrowings under the March 2025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4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59690</wp:posOffset>
            </wp:positionV>
            <wp:extent cx="714375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780"/>
          </w:cols>
          <w:pgMar w:left="700" w:top="123" w:right="4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43750" cy="31750"/>
                    </a:xfrm>
                    <a:prstGeom prst="rect">
                      <a:avLst/>
                    </a:prstGeom>
                    <a:noFill/>
                  </pic:spPr>
                </pic:pic>
              </a:graphicData>
            </a:graphic>
          </wp:anchor>
        </w:drawing>
        <w:t>Exhibit 10.21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2025 SUPPLEMENTAL LINE OF CREDIT LETTER AGREEMENT</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March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GALECTIN THERAPEUTICS,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4960 Peachtree Industrial Blvd., Suite 240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Norcross, Georgia 30071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and Officers of Galectin Therapeutics, Inc.:</w:t>
      </w:r>
    </w:p>
    <w:p>
      <w:pPr>
        <w:spacing w:after="0" w:line="201" w:lineRule="exact"/>
        <w:rPr>
          <w:sz w:val="20"/>
          <w:szCs w:val="20"/>
          <w:color w:val="auto"/>
        </w:rPr>
      </w:pPr>
    </w:p>
    <w:p>
      <w:pPr>
        <w:jc w:val="both"/>
        <w:ind w:firstLine="595"/>
        <w:spacing w:after="0" w:line="247" w:lineRule="auto"/>
        <w:rPr>
          <w:sz w:val="20"/>
          <w:szCs w:val="20"/>
          <w:color w:val="auto"/>
        </w:rPr>
      </w:pPr>
      <w:r>
        <w:rPr>
          <w:rFonts w:ascii="Times New Roman" w:cs="Times New Roman" w:eastAsia="Times New Roman" w:hAnsi="Times New Roman"/>
          <w:sz w:val="17"/>
          <w:szCs w:val="17"/>
          <w:color w:val="auto"/>
        </w:rPr>
        <w:t>This letter agreement supplements that certain Line of Credit Agreement, dated as of July 25 2022, the (“</w:t>
      </w:r>
      <w:r>
        <w:rPr>
          <w:rFonts w:ascii="Times New Roman" w:cs="Times New Roman" w:eastAsia="Times New Roman" w:hAnsi="Times New Roman"/>
          <w:sz w:val="17"/>
          <w:szCs w:val="17"/>
          <w:u w:val="single" w:color="auto"/>
          <w:color w:val="auto"/>
        </w:rPr>
        <w:t>Line of Credit Agreement</w:t>
      </w:r>
      <w:r>
        <w:rPr>
          <w:rFonts w:ascii="Times New Roman" w:cs="Times New Roman" w:eastAsia="Times New Roman" w:hAnsi="Times New Roman"/>
          <w:sz w:val="17"/>
          <w:szCs w:val="17"/>
          <w:color w:val="auto"/>
        </w:rPr>
        <w:t>”), that certain Supplemental Line of Credit Letter Agreement, dated as of March 29, 2024, (the “Supplemental Line of Credit Agreement”), and that certain November 2024 Supplemental Line of Credit Agreement, dated as of November 14, 2024 (the “November 2024 Supplemental Line of Credit”) between Galectin Therapeutics, Inc.,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Richard E. Uihlein, an individual resident of the State of Illinois. This letter agreement (the “</w:t>
      </w:r>
      <w:r>
        <w:rPr>
          <w:rFonts w:ascii="Times New Roman" w:cs="Times New Roman" w:eastAsia="Times New Roman" w:hAnsi="Times New Roman"/>
          <w:sz w:val="17"/>
          <w:szCs w:val="17"/>
          <w:u w:val="single" w:color="auto"/>
          <w:color w:val="auto"/>
        </w:rPr>
        <w:t>March 2025 Supplemental Line of Credit Agreement</w:t>
      </w:r>
      <w:r>
        <w:rPr>
          <w:rFonts w:ascii="Times New Roman" w:cs="Times New Roman" w:eastAsia="Times New Roman" w:hAnsi="Times New Roman"/>
          <w:sz w:val="17"/>
          <w:szCs w:val="17"/>
          <w:color w:val="auto"/>
        </w:rPr>
        <w:t>”) confirms Uihlein’s commitment to provide the Company with a line of credit of $5,000,000 (the “</w:t>
      </w:r>
      <w:r>
        <w:rPr>
          <w:rFonts w:ascii="Times New Roman" w:cs="Times New Roman" w:eastAsia="Times New Roman" w:hAnsi="Times New Roman"/>
          <w:sz w:val="17"/>
          <w:szCs w:val="17"/>
          <w:u w:val="single" w:color="auto"/>
          <w:color w:val="auto"/>
        </w:rPr>
        <w:t>March 2025 Supplemental Line of Credit</w:t>
      </w:r>
      <w:r>
        <w:rPr>
          <w:rFonts w:ascii="Times New Roman" w:cs="Times New Roman" w:eastAsia="Times New Roman" w:hAnsi="Times New Roman"/>
          <w:sz w:val="17"/>
          <w:szCs w:val="17"/>
          <w:color w:val="auto"/>
        </w:rPr>
        <w:t>”), which is in addition to the $60,000,000 that was established under the Line of Credit Agreement, the $10,000,000 that was established under the Supplemental Line of Credit Agreement, and the $6,000,000 that was established under the November Supplemental Line of Credit. The March 2025 Supplemental Line of Credit, subject to the restrictions outlined below, is available to finance the Company’s working capital needs in the amount of $5,000,000.</w:t>
      </w:r>
    </w:p>
    <w:p>
      <w:pPr>
        <w:spacing w:after="0" w:line="177" w:lineRule="exact"/>
        <w:rPr>
          <w:sz w:val="20"/>
          <w:szCs w:val="20"/>
          <w:color w:val="auto"/>
        </w:rPr>
      </w:pPr>
    </w:p>
    <w:p>
      <w:pPr>
        <w:jc w:val="both"/>
        <w:ind w:firstLine="595"/>
        <w:spacing w:after="0" w:line="247" w:lineRule="auto"/>
        <w:rPr>
          <w:sz w:val="20"/>
          <w:szCs w:val="20"/>
          <w:color w:val="auto"/>
        </w:rPr>
      </w:pPr>
      <w:r>
        <w:rPr>
          <w:rFonts w:ascii="Times New Roman" w:cs="Times New Roman" w:eastAsia="Times New Roman" w:hAnsi="Times New Roman"/>
          <w:sz w:val="17"/>
          <w:szCs w:val="17"/>
          <w:color w:val="auto"/>
        </w:rPr>
        <w:t xml:space="preserve">Each advance made pursuant to the March 2025 Supplemental Line of Credit by Uihlein shall be evidenced by an unsecured Promissory Note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(each, a “</w:t>
      </w:r>
      <w:r>
        <w:rPr>
          <w:rFonts w:ascii="Times New Roman" w:cs="Times New Roman" w:eastAsia="Times New Roman" w:hAnsi="Times New Roman"/>
          <w:sz w:val="17"/>
          <w:szCs w:val="17"/>
          <w:u w:val="single" w:color="auto"/>
          <w:color w:val="auto"/>
        </w:rPr>
        <w:t>Promissory Note</w:t>
      </w:r>
      <w:r>
        <w:rPr>
          <w:rFonts w:ascii="Times New Roman" w:cs="Times New Roman" w:eastAsia="Times New Roman" w:hAnsi="Times New Roman"/>
          <w:sz w:val="17"/>
          <w:szCs w:val="17"/>
          <w:color w:val="auto"/>
        </w:rPr>
        <w:t>”), executed by a duly authorized officer of the Company, which shall represent the Company’s obligation to pay the principal amount of such advance with interest thereon. Uihlein shall make requested advances promptly after a draw is submitted by the Company. The March 2025 Supplemental Line of Credit may be drawn upon through September 30, 2025, through draws no more frequently than monthly. As set forth therein, the Promissory Notes shall bear interest (based upon the principal amount outstanding from time to time) payable on or before March 31, 2026, at the Applicable Federal Rate for short term loans published by the Internal Revenue Service as may be in effect at the time of such applicable advance, which interest rate on the date hereof is 4.22%, plus two (2%) percent. Interest on the Promissory Notes will compound monthly and accrue. The Promissory Notes may not be prepaid without the consent of Uihlein.</w:t>
      </w:r>
    </w:p>
    <w:p>
      <w:pPr>
        <w:spacing w:after="0" w:line="177" w:lineRule="exact"/>
        <w:rPr>
          <w:sz w:val="20"/>
          <w:szCs w:val="20"/>
          <w:color w:val="auto"/>
        </w:rPr>
      </w:pPr>
    </w:p>
    <w:p>
      <w:pPr>
        <w:jc w:val="both"/>
        <w:ind w:firstLine="595"/>
        <w:spacing w:after="0" w:line="249" w:lineRule="auto"/>
        <w:rPr>
          <w:sz w:val="20"/>
          <w:szCs w:val="20"/>
          <w:color w:val="auto"/>
        </w:rPr>
      </w:pPr>
      <w:r>
        <w:rPr>
          <w:rFonts w:ascii="Times New Roman" w:cs="Times New Roman" w:eastAsia="Times New Roman" w:hAnsi="Times New Roman"/>
          <w:sz w:val="17"/>
          <w:szCs w:val="17"/>
          <w:color w:val="auto"/>
        </w:rPr>
        <w:t xml:space="preserve">The Company may only draw on the March 2025 Supplemental Line of Credit after the Company has drawn on the maximum amount available for borrowing under the Line of Credit Agreement, the Supplemental Line of Credit Agreement, and the November 2024 Supplemental Line of Credit. The date and amount of any borrowing pursuant to the March 2025 Supplemental Line of Credit and each payment of principal in respect thereof shall be (i) reflected by the Company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attached hereto, which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shall be amended by the Company from time to time, without any further action by Uihlein, to reflect each new advance pursuant to the March 2025 Supplemental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4375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255" w:right="339" w:bottom="1440" w:gutter="0" w:footer="0" w:header="0"/>
        </w:sectPr>
      </w:pPr>
    </w:p>
    <w:bookmarkStart w:id="84" w:name="page85"/>
    <w:bookmarkEnd w:id="84"/>
    <w:p>
      <w:pPr>
        <w:jc w:val="both"/>
        <w:ind w:firstLine="595"/>
        <w:spacing w:after="0" w:line="255" w:lineRule="auto"/>
        <w:rPr>
          <w:sz w:val="20"/>
          <w:szCs w:val="20"/>
          <w:color w:val="auto"/>
        </w:rPr>
      </w:pPr>
      <w:r>
        <w:rPr>
          <w:rFonts w:ascii="Times New Roman" w:cs="Times New Roman" w:eastAsia="Times New Roman" w:hAnsi="Times New Roman"/>
          <w:sz w:val="17"/>
          <w:szCs w:val="17"/>
          <w:color w:val="auto"/>
        </w:rPr>
        <w:t>At the election of Uihlein, the principal and accrued interest on a Promissory Note may be converted into the number of shares of the Company’s common stock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equal to the amount of principal and accrued interest on such Promissory Note divided by the price equal to the closing price of the Common Stock on the date of such Promissory Note, but in no event less than $3.00 per share.</w:t>
      </w:r>
    </w:p>
    <w:p>
      <w:pPr>
        <w:spacing w:after="0" w:line="171" w:lineRule="exact"/>
        <w:rPr>
          <w:sz w:val="20"/>
          <w:szCs w:val="20"/>
          <w:color w:val="auto"/>
        </w:rPr>
      </w:pPr>
    </w:p>
    <w:p>
      <w:pPr>
        <w:jc w:val="both"/>
        <w:ind w:firstLine="595"/>
        <w:spacing w:after="0" w:line="248" w:lineRule="auto"/>
        <w:rPr>
          <w:sz w:val="20"/>
          <w:szCs w:val="20"/>
          <w:color w:val="auto"/>
        </w:rPr>
      </w:pPr>
      <w:r>
        <w:rPr>
          <w:rFonts w:ascii="Times New Roman" w:cs="Times New Roman" w:eastAsia="Times New Roman" w:hAnsi="Times New Roman"/>
          <w:sz w:val="17"/>
          <w:szCs w:val="17"/>
          <w:color w:val="auto"/>
        </w:rPr>
        <w:t>In consideration for making draws under the March 2025 Supplemental Line of Credit, the Company shall issue warrants to Uihlein, exercisable to purchase an aggregate of 100,000 shares of Common Stock (collectively,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xml:space="preserve">”) in substantially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The Company shall issue Uihlein Warrants that are exercisable to purchase the Common Shares, ratably, at the time of the draws, with exercise prices equal to 150% of the closing price of the Common Stock on the date of the Promissory Note evidencing such draw, but in no event more than $10.00 per share nor less than $3.00 per share. For example, if $1,000,000 has been advanced on the March 2025 Supplemental Line of Credit in the aggregate, then the Company will issue Uihlein a Warrant exercisable to purchase 20,000 shares of Common Stock. The Warrants expire on July 31, 2029.</w:t>
      </w:r>
    </w:p>
    <w:p>
      <w:pPr>
        <w:spacing w:after="0" w:line="177" w:lineRule="exact"/>
        <w:rPr>
          <w:sz w:val="20"/>
          <w:szCs w:val="20"/>
          <w:color w:val="auto"/>
        </w:rPr>
      </w:pPr>
    </w:p>
    <w:p>
      <w:pPr>
        <w:jc w:val="both"/>
        <w:ind w:firstLine="595"/>
        <w:spacing w:after="0" w:line="267" w:lineRule="auto"/>
        <w:rPr>
          <w:sz w:val="20"/>
          <w:szCs w:val="20"/>
          <w:color w:val="auto"/>
        </w:rPr>
      </w:pPr>
      <w:r>
        <w:rPr>
          <w:rFonts w:ascii="Times New Roman" w:cs="Times New Roman" w:eastAsia="Times New Roman" w:hAnsi="Times New Roman"/>
          <w:sz w:val="17"/>
          <w:szCs w:val="17"/>
          <w:color w:val="auto"/>
        </w:rPr>
        <w:t>Additionally, as consideration for entering into the March 2025 Supplemental Line of Credit, the Company agrees to extend the maturity date of the Unsecured Convertible Promissory Note dated April 16, 2021 from April 16, 2025 to September 30, 2025.</w:t>
      </w:r>
    </w:p>
    <w:p>
      <w:pPr>
        <w:spacing w:after="0" w:line="160" w:lineRule="exact"/>
        <w:rPr>
          <w:sz w:val="20"/>
          <w:szCs w:val="20"/>
          <w:color w:val="auto"/>
        </w:rPr>
      </w:pPr>
    </w:p>
    <w:p>
      <w:pPr>
        <w:jc w:val="both"/>
        <w:ind w:firstLine="595"/>
        <w:spacing w:after="0" w:line="335" w:lineRule="auto"/>
        <w:rPr>
          <w:sz w:val="20"/>
          <w:szCs w:val="20"/>
          <w:color w:val="auto"/>
        </w:rPr>
      </w:pPr>
      <w:r>
        <w:rPr>
          <w:rFonts w:ascii="Times New Roman" w:cs="Times New Roman" w:eastAsia="Times New Roman" w:hAnsi="Times New Roman"/>
          <w:sz w:val="15"/>
          <w:szCs w:val="15"/>
          <w:color w:val="auto"/>
        </w:rPr>
        <w:t>Any shares of Common Stock issued to Uihlein upon conversion of a Promissory Note shall be accompanied by registration rights whereby the Company shall agree to register the shares of Common Stock with the Securities and Exchange Commission (the “</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within 180 days of the conversion of a Promissory Note.</w:t>
      </w:r>
    </w:p>
    <w:p>
      <w:pPr>
        <w:spacing w:after="0" w:line="114" w:lineRule="exact"/>
        <w:rPr>
          <w:sz w:val="20"/>
          <w:szCs w:val="20"/>
          <w:color w:val="auto"/>
        </w:rPr>
      </w:pPr>
    </w:p>
    <w:p>
      <w:pPr>
        <w:jc w:val="both"/>
        <w:ind w:firstLine="595"/>
        <w:spacing w:after="0" w:line="282" w:lineRule="auto"/>
        <w:rPr>
          <w:sz w:val="20"/>
          <w:szCs w:val="20"/>
          <w:color w:val="auto"/>
        </w:rPr>
      </w:pPr>
      <w:r>
        <w:rPr>
          <w:rFonts w:ascii="Times New Roman" w:cs="Times New Roman" w:eastAsia="Times New Roman" w:hAnsi="Times New Roman"/>
          <w:sz w:val="15"/>
          <w:szCs w:val="15"/>
          <w:color w:val="auto"/>
        </w:rPr>
        <w:t>In the event that the Company on or after March 31, 2025 raises additional capital from at-the-market sales, other financings, exercise of warrants or options, from license or similar fees received from pharmaceutical or other companies or from strategic or financial partnerships or ventures (collectively, “</w:t>
      </w:r>
      <w:r>
        <w:rPr>
          <w:rFonts w:ascii="Times New Roman" w:cs="Times New Roman" w:eastAsia="Times New Roman" w:hAnsi="Times New Roman"/>
          <w:sz w:val="15"/>
          <w:szCs w:val="15"/>
          <w:u w:val="single" w:color="auto"/>
          <w:color w:val="auto"/>
        </w:rPr>
        <w:t>Other Funding</w:t>
      </w:r>
      <w:r>
        <w:rPr>
          <w:rFonts w:ascii="Times New Roman" w:cs="Times New Roman" w:eastAsia="Times New Roman" w:hAnsi="Times New Roman"/>
          <w:sz w:val="15"/>
          <w:szCs w:val="15"/>
          <w:color w:val="auto"/>
        </w:rPr>
        <w:t>”) then Uihlein may, at his election, within 30 days of an Other Funding, reduce the size of the March 2025 Supplemental Line of Credit on a dollar for dollar basis determined by the amount of the Other Funding actually received, but in no event may Uihlein elect to reduce the size of the March 2025 Supplemental Line of Credit below the amount that is then drawn under this March 2025 Supplemental Line of Credit Agreement and provided further that Uihlein shall not reduce the size of the March 2025 Supplemental Line of Credit on account of Other Funding to the extent such Other Funding has resulted in reductions under the Line of Credit Agreement. Furthermore, the Company agrees that (i) in the event the Company closes on one or more Other Fundings through a debt financing, where terms of such debt financing is more favorable to lender than those of this March 2025 Supplemental Line of Credit Agreement, then Uihlein shall have the right to amend this March 2025 Supplemental Line of Credit Agreement so that the terms herein are at least as favorable as such debt financing or (ii) in the event of the Company closes on one or more Other Fundings through an equity financing, then Uihlein shall have the right to participate in such equity financing for up to $6,000,000, and the dollar amount by which Uihlein shall participate in such equity financing shall reduce Uihlein’s commitment under the March 2025 Supplemental Line of Credit.</w:t>
      </w:r>
    </w:p>
    <w:p>
      <w:pPr>
        <w:spacing w:after="0" w:line="355" w:lineRule="exact"/>
        <w:rPr>
          <w:sz w:val="20"/>
          <w:szCs w:val="20"/>
          <w:color w:val="auto"/>
        </w:rPr>
      </w:pPr>
    </w:p>
    <w:p>
      <w:pPr>
        <w:jc w:val="both"/>
        <w:ind w:firstLine="595"/>
        <w:spacing w:after="0" w:line="267" w:lineRule="auto"/>
        <w:rPr>
          <w:sz w:val="20"/>
          <w:szCs w:val="20"/>
          <w:color w:val="auto"/>
        </w:rPr>
      </w:pPr>
      <w:r>
        <w:rPr>
          <w:rFonts w:ascii="Times New Roman" w:cs="Times New Roman" w:eastAsia="Times New Roman" w:hAnsi="Times New Roman"/>
          <w:sz w:val="17"/>
          <w:szCs w:val="17"/>
          <w:color w:val="auto"/>
        </w:rPr>
        <w:t>The Company agrees that so long as any Promissory Note is outstanding the Company will not grant a security interest in the material assets of the Company to any person or entity.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ind w:firstLine="595"/>
        <w:spacing w:after="0" w:line="267" w:lineRule="auto"/>
        <w:rPr>
          <w:sz w:val="20"/>
          <w:szCs w:val="20"/>
          <w:color w:val="auto"/>
        </w:rPr>
      </w:pPr>
      <w:r>
        <w:rPr>
          <w:rFonts w:ascii="Times New Roman" w:cs="Times New Roman" w:eastAsia="Times New Roman" w:hAnsi="Times New Roman"/>
          <w:sz w:val="17"/>
          <w:szCs w:val="17"/>
          <w:color w:val="auto"/>
        </w:rPr>
        <w:t>No other document shall evidence the indebtedness of Uihlein which may be created pursuant to the terms of this March 2025 Supplemental Line of Credit Agreement, other than the Promissory Note.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[signatures on the following page]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ind w:left="600"/>
        <w:spacing w:after="0"/>
        <w:rPr>
          <w:sz w:val="20"/>
          <w:szCs w:val="20"/>
          <w:color w:val="auto"/>
        </w:rPr>
      </w:pPr>
      <w:r>
        <w:rPr>
          <w:rFonts w:ascii="Times New Roman" w:cs="Times New Roman" w:eastAsia="Times New Roman" w:hAnsi="Times New Roman"/>
          <w:sz w:val="15"/>
          <w:szCs w:val="15"/>
          <w:color w:val="auto"/>
        </w:rPr>
        <w:t>This March 2025 Supplement Line of Credit Agreement shall be governed by, construed and interpreted in accordance with the laws of the State of Georgia.</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Richard E. Uihlein</w:t>
      </w: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Richard E. Uihlein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 as of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GALECTIN THERAPEUTICS, INC.</w:t>
      </w:r>
    </w:p>
    <w:p>
      <w:pPr>
        <w:spacing w:after="0" w:line="20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12065</wp:posOffset>
            </wp:positionV>
            <wp:extent cx="228409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2284095" cy="158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Name: Joel Lewis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4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940"/>
          </w:cols>
          <w:pgMar w:left="320" w:top="123" w:right="6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OF ADVANCES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gridSpan w:val="2"/>
          </w:tcPr>
          <w:p>
            <w:pPr>
              <w:jc w:val="center"/>
              <w:ind w:right="860"/>
              <w:spacing w:after="0"/>
              <w:rPr>
                <w:sz w:val="20"/>
                <w:szCs w:val="20"/>
                <w:color w:val="auto"/>
              </w:rPr>
            </w:pPr>
            <w:r>
              <w:rPr>
                <w:rFonts w:ascii="Times New Roman" w:cs="Times New Roman" w:eastAsia="Times New Roman" w:hAnsi="Times New Roman"/>
                <w:sz w:val="17"/>
                <w:szCs w:val="17"/>
                <w:color w:val="auto"/>
                <w:w w:val="95"/>
              </w:rPr>
              <w:t>Unpaid</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6"/>
              </w:rPr>
              <w:t>Amount</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5"/>
              </w:rPr>
              <w:t>Aggregate</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8"/>
              </w:rPr>
              <w:t>of</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7"/>
              </w:rPr>
              <w:t>Principal</w:t>
            </w:r>
          </w:p>
        </w:tc>
        <w:tc>
          <w:tcPr>
            <w:tcW w:w="820" w:type="dxa"/>
            <w:vAlign w:val="bottom"/>
          </w:tcPr>
          <w:p>
            <w:pPr>
              <w:spacing w:after="0"/>
              <w:rPr>
                <w:sz w:val="17"/>
                <w:szCs w:val="17"/>
                <w:color w:val="auto"/>
              </w:rPr>
            </w:pPr>
          </w:p>
        </w:tc>
        <w:tc>
          <w:tcPr>
            <w:tcW w:w="1420" w:type="dxa"/>
            <w:vAlign w:val="bottom"/>
            <w:gridSpan w:val="2"/>
          </w:tcPr>
          <w:p>
            <w:pPr>
              <w:jc w:val="center"/>
              <w:ind w:right="800"/>
              <w:spacing w:after="0"/>
              <w:rPr>
                <w:sz w:val="20"/>
                <w:szCs w:val="20"/>
                <w:color w:val="auto"/>
              </w:rPr>
            </w:pPr>
            <w:r>
              <w:rPr>
                <w:rFonts w:ascii="Times New Roman" w:cs="Times New Roman" w:eastAsia="Times New Roman" w:hAnsi="Times New Roman"/>
                <w:sz w:val="17"/>
                <w:szCs w:val="17"/>
                <w:color w:val="auto"/>
                <w:w w:val="97"/>
              </w:rPr>
              <w:t>Notation</w:t>
            </w:r>
          </w:p>
        </w:tc>
      </w:tr>
      <w:tr>
        <w:trPr>
          <w:trHeight w:val="178"/>
        </w:trPr>
        <w:tc>
          <w:tcPr>
            <w:tcW w:w="980" w:type="dxa"/>
            <w:vAlign w:val="bottom"/>
          </w:tcPr>
          <w:p>
            <w:pPr>
              <w:spacing w:after="0"/>
              <w:rPr>
                <w:sz w:val="15"/>
                <w:szCs w:val="15"/>
                <w:color w:val="auto"/>
              </w:rPr>
            </w:pPr>
          </w:p>
        </w:tc>
        <w:tc>
          <w:tcPr>
            <w:tcW w:w="1280" w:type="dxa"/>
            <w:vAlign w:val="bottom"/>
            <w:gridSpan w:val="2"/>
          </w:tcPr>
          <w:p>
            <w:pPr>
              <w:jc w:val="center"/>
              <w:ind w:right="980"/>
              <w:spacing w:after="0" w:line="178" w:lineRule="exact"/>
              <w:rPr>
                <w:sz w:val="20"/>
                <w:szCs w:val="20"/>
                <w:color w:val="auto"/>
              </w:rPr>
            </w:pPr>
            <w:r>
              <w:rPr>
                <w:rFonts w:ascii="Times New Roman" w:cs="Times New Roman" w:eastAsia="Times New Roman" w:hAnsi="Times New Roman"/>
                <w:sz w:val="17"/>
                <w:szCs w:val="17"/>
                <w:color w:val="auto"/>
                <w:w w:val="93"/>
              </w:rPr>
              <w:t>Date</w:t>
            </w:r>
          </w:p>
        </w:tc>
        <w:tc>
          <w:tcPr>
            <w:tcW w:w="900" w:type="dxa"/>
            <w:vAlign w:val="bottom"/>
          </w:tcPr>
          <w:p>
            <w:pPr>
              <w:spacing w:after="0"/>
              <w:rPr>
                <w:sz w:val="15"/>
                <w:szCs w:val="15"/>
                <w:color w:val="auto"/>
              </w:rPr>
            </w:pPr>
          </w:p>
        </w:tc>
        <w:tc>
          <w:tcPr>
            <w:tcW w:w="1360" w:type="dxa"/>
            <w:vAlign w:val="bottom"/>
            <w:gridSpan w:val="2"/>
          </w:tcPr>
          <w:p>
            <w:pPr>
              <w:jc w:val="center"/>
              <w:ind w:right="900"/>
              <w:spacing w:after="0" w:line="178" w:lineRule="exact"/>
              <w:rPr>
                <w:sz w:val="20"/>
                <w:szCs w:val="20"/>
                <w:color w:val="auto"/>
              </w:rPr>
            </w:pPr>
            <w:r>
              <w:rPr>
                <w:rFonts w:ascii="Times New Roman" w:cs="Times New Roman" w:eastAsia="Times New Roman" w:hAnsi="Times New Roman"/>
                <w:sz w:val="17"/>
                <w:szCs w:val="17"/>
                <w:color w:val="auto"/>
                <w:w w:val="95"/>
              </w:rPr>
              <w:t>Lender</w:t>
            </w:r>
          </w:p>
        </w:tc>
        <w:tc>
          <w:tcPr>
            <w:tcW w:w="224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Advance</w:t>
            </w:r>
          </w:p>
        </w:tc>
        <w:tc>
          <w:tcPr>
            <w:tcW w:w="224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7"/>
                <w:szCs w:val="17"/>
                <w:color w:val="auto"/>
                <w:w w:val="94"/>
              </w:rPr>
              <w:t>Balance</w:t>
            </w:r>
          </w:p>
        </w:tc>
        <w:tc>
          <w:tcPr>
            <w:tcW w:w="224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Made By</w:t>
            </w: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198"/>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215"/>
        </w:trPr>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__________</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__________</w:t>
            </w:r>
          </w:p>
        </w:tc>
      </w:tr>
      <w:tr>
        <w:trPr>
          <w:trHeight w:val="364"/>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EXHIBIT A</w:t>
            </w:r>
          </w:p>
        </w:tc>
        <w:tc>
          <w:tcPr>
            <w:tcW w:w="5180" w:type="dxa"/>
            <w:vAlign w:val="bottom"/>
            <w:gridSpan w:val="3"/>
          </w:tcPr>
          <w:p>
            <w:pPr>
              <w:spacing w:after="0"/>
              <w:rPr>
                <w:sz w:val="17"/>
                <w:szCs w:val="17"/>
                <w:color w:val="auto"/>
              </w:rPr>
            </w:pPr>
          </w:p>
        </w:tc>
      </w:tr>
      <w:tr>
        <w:trPr>
          <w:trHeight w:val="414"/>
        </w:trPr>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880" w:type="dxa"/>
            <w:vAlign w:val="bottom"/>
            <w:gridSpan w:val="5"/>
          </w:tcPr>
          <w:p>
            <w:pPr>
              <w:jc w:val="center"/>
              <w:ind w:right="2257"/>
              <w:spacing w:after="0"/>
              <w:rPr>
                <w:sz w:val="20"/>
                <w:szCs w:val="20"/>
                <w:color w:val="auto"/>
              </w:rPr>
            </w:pPr>
            <w:r>
              <w:rPr>
                <w:rFonts w:ascii="Times New Roman" w:cs="Times New Roman" w:eastAsia="Times New Roman" w:hAnsi="Times New Roman"/>
                <w:sz w:val="17"/>
                <w:szCs w:val="17"/>
                <w:b w:val="1"/>
                <w:bCs w:val="1"/>
                <w:color w:val="auto"/>
                <w:w w:val="96"/>
              </w:rPr>
              <w:t>FORM OF CONVERTIBLE PROMISSORY NOTE</w:t>
            </w:r>
          </w:p>
        </w:tc>
      </w:tr>
      <w:tr>
        <w:trPr>
          <w:trHeight w:val="397"/>
        </w:trPr>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880" w:type="dxa"/>
            <w:vAlign w:val="bottom"/>
            <w:gridSpan w:val="5"/>
          </w:tcPr>
          <w:p>
            <w:pPr>
              <w:jc w:val="center"/>
              <w:ind w:right="2277"/>
              <w:spacing w:after="0"/>
              <w:rPr>
                <w:sz w:val="20"/>
                <w:szCs w:val="20"/>
                <w:color w:val="auto"/>
              </w:rPr>
            </w:pPr>
            <w:r>
              <w:rPr>
                <w:rFonts w:ascii="Times New Roman" w:cs="Times New Roman" w:eastAsia="Times New Roman" w:hAnsi="Times New Roman"/>
                <w:sz w:val="17"/>
                <w:szCs w:val="17"/>
                <w:color w:val="auto"/>
                <w:w w:val="96"/>
              </w:rPr>
              <w:t>CONVERTIBLE PROMISSORY NOTE</w:t>
            </w:r>
          </w:p>
        </w:tc>
      </w:tr>
      <w:tr>
        <w:trPr>
          <w:trHeight w:val="41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Atlanta, Georgia</w:t>
            </w:r>
          </w:p>
        </w:tc>
      </w:tr>
      <w:tr>
        <w:trPr>
          <w:trHeight w:val="199"/>
        </w:trPr>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Dated as of ___, 2024</w:t>
            </w:r>
          </w:p>
        </w:tc>
      </w:tr>
      <w:tr>
        <w:trPr>
          <w:trHeight w:val="359"/>
        </w:trPr>
        <w:tc>
          <w:tcPr>
            <w:tcW w:w="120" w:type="dxa"/>
            <w:vAlign w:val="bottom"/>
          </w:tcPr>
          <w:p>
            <w:pPr>
              <w:spacing w:after="0"/>
              <w:rPr>
                <w:sz w:val="24"/>
                <w:szCs w:val="24"/>
                <w:color w:val="auto"/>
              </w:rPr>
            </w:pPr>
          </w:p>
        </w:tc>
        <w:tc>
          <w:tcPr>
            <w:tcW w:w="111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FOR VALUE RECEIVED, the undersigned, GALECTIN THERAPEUTICS, INC., a Nevada corporation (the “Company”), hereby unconditionally</w:t>
            </w:r>
          </w:p>
        </w:tc>
      </w:tr>
      <w:tr>
        <w:trPr>
          <w:trHeight w:val="20"/>
        </w:trPr>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promises to pay to the order of Richard E. Uihlein, an individual resident of the State of Illinois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whose office address is 12575 Uline Drive, Pleasant Prairie, WI 53158, on [March 31, 2026], in lawful money of the United States of America and in immediately available funds, the principal amount of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 DOLLARS ($_______________). The Company further agrees to pay interest in like money at an annual rate of ______% [the Applicable</w:t>
      </w:r>
    </w:p>
    <w:p>
      <w:pPr>
        <w:spacing w:after="0" w:line="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Federal Rate for short term loans as may be in effect on the date of the Promissory Note as published by the Internal Revenue Service plus two (2%) percent] on the unpaid principal amount hereof from time to time outstanding, which shall compound monthly and accrue commencing on the date hereof and continuing until paid in full on March 31, 2026 or sooner prepaid.</w:t>
      </w:r>
    </w:p>
    <w:p>
      <w:pPr>
        <w:spacing w:after="0" w:line="178" w:lineRule="exact"/>
        <w:rPr>
          <w:sz w:val="20"/>
          <w:szCs w:val="20"/>
          <w:color w:val="auto"/>
        </w:rPr>
      </w:pPr>
    </w:p>
    <w:p>
      <w:pPr>
        <w:jc w:val="both"/>
        <w:ind w:firstLine="1191"/>
        <w:spacing w:after="0" w:line="255" w:lineRule="auto"/>
        <w:rPr>
          <w:sz w:val="20"/>
          <w:szCs w:val="20"/>
          <w:color w:val="auto"/>
        </w:rPr>
      </w:pPr>
      <w:r>
        <w:rPr>
          <w:rFonts w:ascii="Times New Roman" w:cs="Times New Roman" w:eastAsia="Times New Roman" w:hAnsi="Times New Roman"/>
          <w:sz w:val="17"/>
          <w:szCs w:val="17"/>
          <w:color w:val="auto"/>
        </w:rPr>
        <w:t>This Promissory Note is made pursuant to that certain March 2025 Supplemental Line of Credit Letter Agreement, dated as of March 31, 2024, by and between Lender and the Company, and the Company and the Lender are entitled to the benefits and obligations thereof. Only with the consent of Lender, this Promissory Notes may be prepaid, in whole or in part, at any time without premium or penalty, but with interest on the amount prepaid..</w:t>
      </w:r>
    </w:p>
    <w:p>
      <w:pPr>
        <w:spacing w:after="0" w:line="171" w:lineRule="exact"/>
        <w:rPr>
          <w:sz w:val="20"/>
          <w:szCs w:val="20"/>
          <w:color w:val="auto"/>
        </w:rPr>
      </w:pPr>
    </w:p>
    <w:p>
      <w:pPr>
        <w:jc w:val="both"/>
        <w:ind w:firstLine="1191"/>
        <w:spacing w:after="0" w:line="255" w:lineRule="auto"/>
        <w:rPr>
          <w:sz w:val="20"/>
          <w:szCs w:val="20"/>
          <w:color w:val="auto"/>
        </w:rPr>
      </w:pPr>
      <w:r>
        <w:rPr>
          <w:rFonts w:ascii="Times New Roman" w:cs="Times New Roman" w:eastAsia="Times New Roman" w:hAnsi="Times New Roman"/>
          <w:sz w:val="17"/>
          <w:szCs w:val="17"/>
          <w:color w:val="auto"/>
        </w:rPr>
        <w:t>At the election of Lender, the principal and accrued interest on this Promissory Note may be converted into the number of shares of the Company’s common stock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equal to the amount of principal and accrued interest on this Promissory Note divided by the price equal to the closing price of the Common Stock on the date of this Promissory Note.</w:t>
      </w:r>
    </w:p>
    <w:p>
      <w:pPr>
        <w:spacing w:after="0" w:line="171" w:lineRule="exact"/>
        <w:rPr>
          <w:sz w:val="20"/>
          <w:szCs w:val="20"/>
          <w:color w:val="auto"/>
        </w:rPr>
      </w:pPr>
    </w:p>
    <w:p>
      <w:pPr>
        <w:jc w:val="both"/>
        <w:ind w:firstLine="1191"/>
        <w:spacing w:after="0" w:line="251" w:lineRule="auto"/>
        <w:rPr>
          <w:sz w:val="20"/>
          <w:szCs w:val="20"/>
          <w:color w:val="auto"/>
        </w:rPr>
      </w:pPr>
      <w:r>
        <w:rPr>
          <w:rFonts w:ascii="Times New Roman" w:cs="Times New Roman" w:eastAsia="Times New Roman" w:hAnsi="Times New Roman"/>
          <w:sz w:val="17"/>
          <w:szCs w:val="17"/>
          <w:color w:val="auto"/>
        </w:rPr>
        <w:t>The Company, for itself and all other persons who now are or who may become liable for the payment of all or any part of the obligations evidenced by this Promissory Note, jointly, severally and irrevocably, hereby waives presentment for payment, demand, protest, notice of protest, notice of dishonor and any and all other notices and demands whatsoever. The Company shall pay all costs and expenses of collection, including, without limitation, reasonable attorneys’ fees except to the extent limited or prohibited by law.</w:t>
      </w:r>
    </w:p>
    <w:p>
      <w:pPr>
        <w:spacing w:after="0" w:line="174" w:lineRule="exact"/>
        <w:rPr>
          <w:sz w:val="20"/>
          <w:szCs w:val="20"/>
          <w:color w:val="auto"/>
        </w:rPr>
      </w:pPr>
    </w:p>
    <w:p>
      <w:pPr>
        <w:jc w:val="both"/>
        <w:ind w:firstLine="1191"/>
        <w:spacing w:after="0" w:line="249" w:lineRule="auto"/>
        <w:rPr>
          <w:sz w:val="20"/>
          <w:szCs w:val="20"/>
          <w:color w:val="auto"/>
        </w:rPr>
      </w:pPr>
      <w:r>
        <w:rPr>
          <w:rFonts w:ascii="Times New Roman" w:cs="Times New Roman" w:eastAsia="Times New Roman" w:hAnsi="Times New Roman"/>
          <w:sz w:val="17"/>
          <w:szCs w:val="17"/>
          <w:color w:val="auto"/>
        </w:rPr>
        <w:t>No act, omission, or other failure on the part of Lender or any holder of this Note to exercise any right, remedy or recourse hereunder with respect to the Company, whether before or after the occurrence of a default, shall constitute waiver or release of any such right, remedy, recourse, default by such holder or on behalf of any other holder; such waiver or release to be effected only through a written document executed by Lender or such holder and then only to the extent specifically recited therein. A waiver or release with reference to any one event shall not be construed as continuing, as a bar to, or as a waiver or release of, any subsequent right, remedy or recourse as to a subsequent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4375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9" w:name="page90"/>
    <w:bookmarkEnd w:id="89"/>
    <w:p>
      <w:pPr>
        <w:ind w:left="80"/>
        <w:spacing w:after="0"/>
        <w:rPr>
          <w:sz w:val="20"/>
          <w:szCs w:val="20"/>
          <w:color w:val="auto"/>
        </w:rPr>
      </w:pPr>
      <w:r>
        <w:rPr>
          <w:rFonts w:ascii="Times New Roman" w:cs="Times New Roman" w:eastAsia="Times New Roman" w:hAnsi="Times New Roman"/>
          <w:sz w:val="15"/>
          <w:szCs w:val="15"/>
          <w:color w:val="auto"/>
        </w:rPr>
        <w:t>This Promissory Note shall be governed by, construed and interpreted in accordance with the laws of the State of Georgia.</w:t>
      </w:r>
    </w:p>
    <w:p>
      <w:pPr>
        <w:spacing w:after="0" w:line="2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GALECTIN THERAPEUTICS, INC.</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20320</wp:posOffset>
            </wp:positionV>
            <wp:extent cx="228409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2284095" cy="15875"/>
                    </a:xfrm>
                    <a:prstGeom prst="rect">
                      <a:avLst/>
                    </a:prstGeom>
                    <a:noFill/>
                  </pic:spPr>
                </pic:pic>
              </a:graphicData>
            </a:graphic>
          </wp:anchor>
        </w:drawing>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Joel Lewis</w:t>
      </w:r>
    </w:p>
    <w:p>
      <w:pPr>
        <w:spacing w:after="0" w:line="20"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36195</wp:posOffset>
            </wp:positionV>
            <wp:extent cx="714375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COMMON STOCK PURCHASE WARRANT</w:t>
      </w:r>
    </w:p>
    <w:p>
      <w:pPr>
        <w:spacing w:after="0" w:line="205" w:lineRule="exact"/>
        <w:rPr>
          <w:sz w:val="20"/>
          <w:szCs w:val="20"/>
          <w:color w:val="auto"/>
        </w:rPr>
      </w:pPr>
    </w:p>
    <w:p>
      <w:pPr>
        <w:ind w:left="1" w:right="140"/>
        <w:spacing w:after="0" w:line="248" w:lineRule="auto"/>
        <w:rPr>
          <w:sz w:val="20"/>
          <w:szCs w:val="20"/>
          <w:color w:val="auto"/>
        </w:rPr>
      </w:pPr>
      <w:r>
        <w:rPr>
          <w:rFonts w:ascii="Times New Roman" w:cs="Times New Roman" w:eastAsia="Times New Roman" w:hAnsi="Times New Roman"/>
          <w:sz w:val="17"/>
          <w:szCs w:val="17"/>
          <w:color w:val="auto"/>
        </w:rPr>
        <w:t>NEITHER THIS WARRANT CERTIFICATE NOR THE WARRANTS REPRESENTED HEREBY NOR ANY SHARES OF COMMON STOCK ISSUABLE UPON THE EXERCISE OF SUCH WARRANTS, NOR ANY INTEREST IN OR RIGHTS UNDER SAME, HAVE BEEN REGISTERED UNDER THE SECURITIES ACT OF 1933 OR THE LAWS OF ANY STATE, AND NEITHER THIS WARRANT CERTIFICATE NOR THE WARRANTS REPRESENTED HEREBY NOR ANY SHARES OF COMMON STOCK ISSUABLE UPON THE EXERCISE OF SUCH WARRANTS, NOR ANY INTEREST IN OR RIGHTS UNDER SAME, MAY BE SOLD OR OTHERWISE TRANSFERRED UNLESS REGISTERED UNDER SUCH ACT AND APPLICABLE STATE SECURITIES LAWS OR AN EXEMPTION FROM REGISTRATION IS AVAILABLE.</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Warrant No. 2025-1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GALECTIN THERAPEUTICS,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COMMON STOCK PURCHASE WARRANT</w:t>
      </w:r>
    </w:p>
    <w:p>
      <w:pPr>
        <w:spacing w:after="0" w:line="185" w:lineRule="exact"/>
        <w:rPr>
          <w:sz w:val="20"/>
          <w:szCs w:val="20"/>
          <w:color w:val="auto"/>
        </w:rPr>
      </w:pPr>
    </w:p>
    <w:p>
      <w:pPr>
        <w:ind w:left="1" w:firstLine="405"/>
        <w:spacing w:after="0" w:line="283" w:lineRule="auto"/>
        <w:rPr>
          <w:sz w:val="20"/>
          <w:szCs w:val="20"/>
          <w:color w:val="auto"/>
        </w:rPr>
      </w:pPr>
      <w:r>
        <w:rPr>
          <w:rFonts w:ascii="Times New Roman" w:cs="Times New Roman" w:eastAsia="Times New Roman" w:hAnsi="Times New Roman"/>
          <w:sz w:val="15"/>
          <w:szCs w:val="15"/>
          <w:color w:val="auto"/>
        </w:rPr>
        <w:t>Galectin Therapeutics, Inc., a Nevada corporation (the “Company”), for value received and subject to the terms set forth below hereby grants to Richard E. Uihlein, or its registered successors and assigns (the “Holder”), the right to purchase from the Company at any time or from time to time until the date and time permitted under Section 2.1 below, ___________ (__________) fully paid and non-assessable shares of the Common Stock, at the purchase price of $_____ per share (the “Exercise</w:t>
      </w:r>
    </w:p>
    <w:p>
      <w:pPr>
        <w:spacing w:after="0" w:line="2" w:lineRule="exact"/>
        <w:rPr>
          <w:sz w:val="20"/>
          <w:szCs w:val="20"/>
          <w:color w:val="auto"/>
        </w:rPr>
      </w:pPr>
    </w:p>
    <w:p>
      <w:pPr>
        <w:ind w:left="1" w:right="420"/>
        <w:spacing w:after="0" w:line="245" w:lineRule="auto"/>
        <w:rPr>
          <w:sz w:val="20"/>
          <w:szCs w:val="20"/>
          <w:color w:val="auto"/>
        </w:rPr>
      </w:pPr>
      <w:r>
        <w:rPr>
          <w:rFonts w:ascii="Times New Roman" w:cs="Times New Roman" w:eastAsia="Times New Roman" w:hAnsi="Times New Roman"/>
          <w:sz w:val="17"/>
          <w:szCs w:val="17"/>
          <w:color w:val="auto"/>
        </w:rPr>
        <w:t>Price”). This Warrant is issued pursuant to that certain March 2025 Supplemental Line of Credit Letter Agreement, dated as of March 31, 2025, by and between the Company and the Holder (the “March 2025 Supplemental Line of Credit Letter Agreement”). The Exercise Price and the number and character of such shares of Common Stock purchasable pursuant to the rights granted under this Warrant are subject to adjustment as provided herein.</w:t>
      </w:r>
    </w:p>
    <w:p>
      <w:pPr>
        <w:spacing w:after="0" w:line="178" w:lineRule="exact"/>
        <w:rPr>
          <w:sz w:val="20"/>
          <w:szCs w:val="20"/>
          <w:color w:val="auto"/>
        </w:rPr>
      </w:pPr>
    </w:p>
    <w:p>
      <w:pPr>
        <w:ind w:left="1" w:right="700" w:hanging="1"/>
        <w:spacing w:after="0" w:line="267" w:lineRule="auto"/>
        <w:tabs>
          <w:tab w:leader="none" w:pos="16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Definitions. Capitalized terms used and not otherwise defined herein shall have the meanings set forth in the March 2025 Supplemental Line of Credit Letter Agreement. As used herein the following terms, unless the context otherwise requires, have the following respective meanings:</w:t>
      </w:r>
    </w:p>
    <w:p>
      <w:pPr>
        <w:spacing w:after="0" w:line="158" w:lineRule="exact"/>
        <w:rPr>
          <w:sz w:val="20"/>
          <w:szCs w:val="20"/>
          <w:color w:val="auto"/>
        </w:rPr>
      </w:pPr>
    </w:p>
    <w:p>
      <w:pPr>
        <w:ind w:left="601" w:firstLine="595"/>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“Common Stock” </w:t>
      </w:r>
      <w:r>
        <w:rPr>
          <w:rFonts w:ascii="Times New Roman" w:cs="Times New Roman" w:eastAsia="Times New Roman" w:hAnsi="Times New Roman"/>
          <w:sz w:val="17"/>
          <w:szCs w:val="17"/>
          <w:color w:val="auto"/>
        </w:rPr>
        <w:t>means the Company’s common stock and stock of any other class of securities into which such securities may hereafter have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reclassified or changed into, including any stock (other than Common Stock) and other securities of the Company or any other Person (corporate or other) which the Holder of this Warrant at any time shall be entitled to receive, or shall have received, upon the exercise of this Warrant, in lieu of or in addition to Common Stock, or which at any time shall be issuable or shall have been issued in exchange for or in replacement of Common Stock pursuant to Section 3.2 hereof or otherwise.</w:t>
      </w:r>
    </w:p>
    <w:p>
      <w:pPr>
        <w:spacing w:after="0" w:line="173" w:lineRule="exact"/>
        <w:rPr>
          <w:sz w:val="20"/>
          <w:szCs w:val="20"/>
          <w:color w:val="auto"/>
        </w:rPr>
      </w:pPr>
    </w:p>
    <w:p>
      <w:pPr>
        <w:ind w:left="601" w:right="320" w:firstLine="59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Stock Equivalents</w:t>
      </w:r>
      <w:r>
        <w:rPr>
          <w:rFonts w:ascii="Times New Roman" w:cs="Times New Roman" w:eastAsia="Times New Roman" w:hAnsi="Times New Roman"/>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1201"/>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Issue Date”</w:t>
      </w:r>
      <w:r>
        <w:rPr>
          <w:rFonts w:ascii="Times New Roman" w:cs="Times New Roman" w:eastAsia="Times New Roman" w:hAnsi="Times New Roman"/>
          <w:sz w:val="17"/>
          <w:szCs w:val="17"/>
          <w:color w:val="auto"/>
        </w:rPr>
        <w:t xml:space="preserve"> means __________.</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9" w:right="339" w:bottom="1440" w:gutter="0" w:footer="0" w:header="0"/>
        </w:sectPr>
      </w:pPr>
    </w:p>
    <w:bookmarkStart w:id="91" w:name="page92"/>
    <w:bookmarkEnd w:id="91"/>
    <w:p>
      <w:pPr>
        <w:ind w:left="600" w:right="140" w:firstLine="595"/>
        <w:spacing w:after="0" w:line="2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Market Value</w:t>
      </w:r>
      <w:r>
        <w:rPr>
          <w:rFonts w:ascii="Times New Roman" w:cs="Times New Roman" w:eastAsia="Times New Roman" w:hAnsi="Times New Roman"/>
          <w:sz w:val="15"/>
          <w:szCs w:val="15"/>
          <w:color w:val="auto"/>
        </w:rPr>
        <w:t>” means, for any date, the price determined by the first of the following clauses that applies: (a) if the Common Stock is then listed or quoted on a Trading Market (other than the OTC Bulletin Board), the daily volume weighted average price of the Common Stock for such date (or the nearest preceding date) on the Trading Market on which the Common Stock is then listed or quoted as reported by Bloomberg Financial L.P. (based on a Trading Day from 9:30 a.m. Eastern Time to 4:00 p.m. Eastern Time); (b) if the Common Stock is then listed or quoted on the OTC Bulletin Board, the average of the high and low price of the Common Stock for such date (or the nearest preceding date) on the OTC Bulletin Board; or (c) if the Common Stock is not then listed or quoted on a Trading Market and if prices for the Common Stock are then reported in the “Pink Sheets” published by the Pink Sheets, LLC (or a similar organization or agency succeeding to its functions of reporting prices), the most recent bid price per share of the Common Stock so reported.</w:t>
      </w:r>
    </w:p>
    <w:p>
      <w:pPr>
        <w:spacing w:after="0" w:line="1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 xml:space="preserve">“This Warrant” </w:t>
      </w:r>
      <w:r>
        <w:rPr>
          <w:rFonts w:ascii="Times New Roman" w:cs="Times New Roman" w:eastAsia="Times New Roman" w:hAnsi="Times New Roman"/>
          <w:sz w:val="17"/>
          <w:szCs w:val="17"/>
          <w:color w:val="auto"/>
        </w:rPr>
        <w:t>means, collectively, this Warrant and all other stock purchase warrants issued in exchange therefor or replacement thereof.</w:t>
      </w: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Trading Day</w:t>
      </w:r>
      <w:r>
        <w:rPr>
          <w:rFonts w:ascii="Times New Roman" w:cs="Times New Roman" w:eastAsia="Times New Roman" w:hAnsi="Times New Roman"/>
          <w:sz w:val="17"/>
          <w:szCs w:val="17"/>
          <w:color w:val="auto"/>
        </w:rPr>
        <w:t>” means a day on which the common Stock is traded on a Trading Market.</w:t>
      </w: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Trading Market</w:t>
      </w:r>
      <w:r>
        <w:rPr>
          <w:rFonts w:ascii="Times New Roman" w:cs="Times New Roman" w:eastAsia="Times New Roman" w:hAnsi="Times New Roman"/>
          <w:sz w:val="15"/>
          <w:szCs w:val="15"/>
          <w:color w:val="auto"/>
        </w:rPr>
        <w:t>” means any of the following markets or exchanges on which the common Stock is listed or quoted for trading on the date in question:</w:t>
      </w:r>
    </w:p>
    <w:p>
      <w:pPr>
        <w:spacing w:after="0" w:line="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Nasdaq Stock Market, the New York Stock Exchange, the OTC Bulletin Board or the “Pink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Exercise.</w:t>
      </w:r>
    </w:p>
    <w:p>
      <w:pPr>
        <w:spacing w:after="0" w:line="201"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7"/>
          <w:szCs w:val="17"/>
          <w:color w:val="auto"/>
        </w:rPr>
        <w:t>2.1 Exercise Period. The Holder may exercise this Warrant at any time after the Issue Date and before the close of business in Norcross, Georgia on July 31, 2029 (the “Exercise Period”), unless earlier terminated pursuant to Section 3.2 herein.</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2.2 Exercise Procedure.</w:t>
      </w:r>
    </w:p>
    <w:p>
      <w:pPr>
        <w:spacing w:after="0" w:line="201" w:lineRule="exact"/>
        <w:rPr>
          <w:sz w:val="20"/>
          <w:szCs w:val="20"/>
          <w:color w:val="auto"/>
        </w:rPr>
      </w:pPr>
    </w:p>
    <w:p>
      <w:pPr>
        <w:ind w:left="620" w:hanging="216"/>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Warrant will be deemed to have been exercised at such time as the Company has received all of the following items (the “Exercise Date”):</w:t>
      </w:r>
    </w:p>
    <w:p>
      <w:pPr>
        <w:spacing w:after="0" w:line="201" w:lineRule="exact"/>
        <w:rPr>
          <w:rFonts w:ascii="Times New Roman" w:cs="Times New Roman" w:eastAsia="Times New Roman" w:hAnsi="Times New Roman"/>
          <w:sz w:val="17"/>
          <w:szCs w:val="17"/>
          <w:color w:val="auto"/>
        </w:rPr>
      </w:pPr>
    </w:p>
    <w:p>
      <w:pPr>
        <w:ind w:left="400" w:right="240" w:firstLine="409"/>
        <w:spacing w:after="0" w:line="267" w:lineRule="auto"/>
        <w:tabs>
          <w:tab w:leader="none" w:pos="100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completed Exercise Notice as described in Section 2.4 hereof, executed by the Person exercising all or part of the purchase rights represented by this Warrant (the “Purchaser”);</w:t>
      </w:r>
    </w:p>
    <w:p>
      <w:pPr>
        <w:spacing w:after="0" w:line="160" w:lineRule="exact"/>
        <w:rPr>
          <w:rFonts w:ascii="Times New Roman" w:cs="Times New Roman" w:eastAsia="Times New Roman" w:hAnsi="Times New Roman"/>
          <w:sz w:val="17"/>
          <w:szCs w:val="17"/>
          <w:color w:val="auto"/>
        </w:rPr>
      </w:pPr>
    </w:p>
    <w:p>
      <w:pPr>
        <w:ind w:left="1060" w:hanging="251"/>
        <w:spacing w:after="0"/>
        <w:tabs>
          <w:tab w:leader="none" w:pos="10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Warrant;</w:t>
      </w:r>
    </w:p>
    <w:p>
      <w:pPr>
        <w:spacing w:after="0" w:line="201" w:lineRule="exact"/>
        <w:rPr>
          <w:rFonts w:ascii="Times New Roman" w:cs="Times New Roman" w:eastAsia="Times New Roman" w:hAnsi="Times New Roman"/>
          <w:sz w:val="17"/>
          <w:szCs w:val="17"/>
          <w:color w:val="auto"/>
        </w:rPr>
      </w:pPr>
    </w:p>
    <w:p>
      <w:pPr>
        <w:ind w:left="400" w:right="260" w:firstLine="409"/>
        <w:spacing w:after="0" w:line="267" w:lineRule="auto"/>
        <w:tabs>
          <w:tab w:leader="none" w:pos="109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Warrant is not registered in the name of the Purchaser, an Assignment or Assignments in the form set forth in Exhibit B hereto, evidencing the assignment of this Warrant to the Purchaser together with any documentation required pursuant to Section 8(a) hereof; and</w:t>
      </w:r>
    </w:p>
    <w:p>
      <w:pPr>
        <w:spacing w:after="0" w:line="160" w:lineRule="exact"/>
        <w:rPr>
          <w:rFonts w:ascii="Times New Roman" w:cs="Times New Roman" w:eastAsia="Times New Roman" w:hAnsi="Times New Roman"/>
          <w:sz w:val="17"/>
          <w:szCs w:val="17"/>
          <w:color w:val="auto"/>
        </w:rPr>
      </w:pPr>
    </w:p>
    <w:p>
      <w:pPr>
        <w:ind w:left="400" w:right="260" w:firstLine="409"/>
        <w:spacing w:after="0" w:line="267" w:lineRule="auto"/>
        <w:tabs>
          <w:tab w:leader="none" w:pos="108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check payable to the order of the Company in an amount equal to the product of the Exercise Price multiplied by the number of shares of Common Stock being purchased upon such exercise.</w:t>
      </w:r>
    </w:p>
    <w:p>
      <w:pPr>
        <w:spacing w:after="0" w:line="160" w:lineRule="exact"/>
        <w:rPr>
          <w:rFonts w:ascii="Times New Roman" w:cs="Times New Roman" w:eastAsia="Times New Roman" w:hAnsi="Times New Roman"/>
          <w:sz w:val="17"/>
          <w:szCs w:val="17"/>
          <w:color w:val="auto"/>
        </w:rPr>
      </w:pPr>
    </w:p>
    <w:p>
      <w:pPr>
        <w:ind w:right="80" w:firstLine="404"/>
        <w:spacing w:after="0" w:line="295" w:lineRule="auto"/>
        <w:tabs>
          <w:tab w:leader="none" w:pos="63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after the exercise of this Warrant in full or in part, and in any event within ten (10) days after the Exercise Date, the Company at its expense will cause to be issued in the name of and delivered to the Purchaser, or as the Purchaser (upon payment by the Purchaser of any applicable transfer taxes) may direct, a certificate or certificates for the number of fully paid and non-assessable shares of Common Stock to which the Purchaser shall be entitled upon such exercise, together with any other stock or other securities and property (including cash, where applicable) to which the Purchaser is entitled upon exercise.</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2" w:name="page93"/>
    <w:bookmarkEnd w:id="92"/>
    <w:p>
      <w:pPr>
        <w:jc w:val="both"/>
        <w:ind w:right="20" w:firstLine="404"/>
        <w:spacing w:after="0" w:line="251" w:lineRule="auto"/>
        <w:tabs>
          <w:tab w:leader="none" w:pos="63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this Warrant has expired or all of the purchase rights represented hereby have been exercised, the Company at its expense will, within ten (10) days after the Exercise Date, issue and deliver to or upon the order of the Purchaser a new Warrant or Warrants of like tenor, in the name of the Purchaser or as the Purchaser (upon payment by the Purchaser of any applicable transfer taxes) may request, calling in the aggregate on the face or faces thereof for the number of shares of Common Stock remaining issuable under this Warrant.</w:t>
      </w:r>
    </w:p>
    <w:p>
      <w:pPr>
        <w:spacing w:after="0" w:line="174" w:lineRule="exact"/>
        <w:rPr>
          <w:rFonts w:ascii="Times New Roman" w:cs="Times New Roman" w:eastAsia="Times New Roman" w:hAnsi="Times New Roman"/>
          <w:sz w:val="17"/>
          <w:szCs w:val="17"/>
          <w:color w:val="auto"/>
        </w:rPr>
      </w:pPr>
    </w:p>
    <w:p>
      <w:pPr>
        <w:ind w:firstLine="404"/>
        <w:spacing w:after="0" w:line="267" w:lineRule="auto"/>
        <w:tabs>
          <w:tab w:leader="none" w:pos="63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issuable upon the exercise of this Warrant will be deemed to have been issued to the Purchaser on the Exercise Date, and the Purchaser will be deemed for all purposes to have become the record holder of such Common Stock on the Exercise Date.</w:t>
      </w:r>
    </w:p>
    <w:p>
      <w:pPr>
        <w:spacing w:after="0" w:line="160" w:lineRule="exact"/>
        <w:rPr>
          <w:rFonts w:ascii="Times New Roman" w:cs="Times New Roman" w:eastAsia="Times New Roman" w:hAnsi="Times New Roman"/>
          <w:sz w:val="17"/>
          <w:szCs w:val="17"/>
          <w:color w:val="auto"/>
        </w:rPr>
      </w:pPr>
    </w:p>
    <w:p>
      <w:pPr>
        <w:ind w:right="400" w:firstLine="404"/>
        <w:spacing w:after="0" w:line="335" w:lineRule="auto"/>
        <w:tabs>
          <w:tab w:leader="none" w:pos="63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certificates for shares of Common Stock upon exercise of this Warrant will be made without charge to the Holder or the Purchaser for any issuance tax in respect thereof or any other cost incurred by the Company in connection with such exercise and the related issuance of shares of Common Stock.</w:t>
      </w:r>
    </w:p>
    <w:p>
      <w:pPr>
        <w:spacing w:after="0" w:line="113" w:lineRule="exact"/>
        <w:rPr>
          <w:rFonts w:ascii="Times New Roman" w:cs="Times New Roman" w:eastAsia="Times New Roman" w:hAnsi="Times New Roman"/>
          <w:sz w:val="15"/>
          <w:szCs w:val="15"/>
          <w:color w:val="auto"/>
        </w:rPr>
      </w:pPr>
    </w:p>
    <w:p>
      <w:pPr>
        <w:ind w:firstLine="404"/>
        <w:spacing w:after="0" w:line="249" w:lineRule="auto"/>
        <w:tabs>
          <w:tab w:leader="none" w:pos="61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represents and warrants that at the time of any exercise of this warrant the holder is an “accredited investor,” as such term is defined in Rule 501 promulgated under the Securities Act and acknowledges and agrees that the Company may, in its sole discretion, (i) require, as a condition to the exercise of this Warrant, that the holder provide such written evidence that such holder is an accredited investor as the time of exercise, and (ii) decline to issue the shares of Common Stock issuable upon such exercise if the Company is not satisfied that this warrant may be exercised by the holder pursuant to a valid registration exemption from the Securities Act and any applicable state securities law.</w:t>
      </w:r>
    </w:p>
    <w:p>
      <w:pPr>
        <w:spacing w:after="0" w:line="177"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7"/>
          <w:szCs w:val="17"/>
          <w:color w:val="auto"/>
        </w:rPr>
        <w:t>2.3 Acknowledgement of Continuing Obligations. The Company will, at the time of the exercise of this Warrant, upon the request of the Purchaser, acknowledge in writing its continuing obligation to afford to the Purchaser any rights to which the Purchaser shall continue to be entitled after such exercise in accordance with the provisions of this Warrant, provided that if the Purchaser shall fail to make any such request, such failure shall not affect the continuing obligation of the Company to afford to the Purchaser any such rights.</w:t>
      </w:r>
    </w:p>
    <w:p>
      <w:pPr>
        <w:spacing w:after="0" w:line="174" w:lineRule="exact"/>
        <w:rPr>
          <w:sz w:val="20"/>
          <w:szCs w:val="20"/>
          <w:color w:val="auto"/>
        </w:rPr>
      </w:pPr>
    </w:p>
    <w:p>
      <w:pPr>
        <w:ind w:right="200" w:firstLine="405"/>
        <w:spacing w:after="0" w:line="295" w:lineRule="auto"/>
        <w:rPr>
          <w:sz w:val="20"/>
          <w:szCs w:val="20"/>
          <w:color w:val="auto"/>
        </w:rPr>
      </w:pPr>
      <w:r>
        <w:rPr>
          <w:rFonts w:ascii="Times New Roman" w:cs="Times New Roman" w:eastAsia="Times New Roman" w:hAnsi="Times New Roman"/>
          <w:sz w:val="15"/>
          <w:szCs w:val="15"/>
          <w:color w:val="auto"/>
        </w:rPr>
        <w:t>2.4 Exercise Notice. The Exercise Notice will be substantially in the form set forth in Exhibit A hereto, except that if the shares of Common Stock issuable upon exercise of this Warrant are not to be issued in the name of the Purchaser, the Exercise Notice will also state the name of the Person to whom the certificates for the shares of Common Stock are to be issued, and if the number of shares of Common Stock to be issued does not include all the shares of Common Stock issuable hereunder, it will also state the name of the Person to whom a new Warrant for the unexercised portion of the rights hereunder is to be delivered.</w:t>
      </w:r>
    </w:p>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7"/>
          <w:szCs w:val="17"/>
          <w:color w:val="auto"/>
        </w:rPr>
        <w:t>2.5 Fractional Shares. If a fractional share of Common Stock would, but for the provisions of Section 2.1 hereof, be issuable upon exercise of the rights represented by this Warrant, the Company will, within ten (10) days after the Exercise Date, deliver to the Purchaser a check payable to the Purchaser in lieu of such fractional share, in an amount equal to the Market Value of such fractional share as of the close of business on the Exercise Date.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3. Adjustments.</w:t>
      </w:r>
    </w:p>
    <w:p>
      <w:pPr>
        <w:spacing w:after="0" w:line="201" w:lineRule="exact"/>
        <w:rPr>
          <w:sz w:val="20"/>
          <w:szCs w:val="20"/>
          <w:color w:val="auto"/>
        </w:rPr>
      </w:pPr>
    </w:p>
    <w:p>
      <w:pPr>
        <w:ind w:firstLine="405"/>
        <w:spacing w:after="0" w:line="249" w:lineRule="auto"/>
        <w:rPr>
          <w:sz w:val="20"/>
          <w:szCs w:val="20"/>
          <w:color w:val="auto"/>
        </w:rPr>
      </w:pPr>
      <w:r>
        <w:rPr>
          <w:rFonts w:ascii="Times New Roman" w:cs="Times New Roman" w:eastAsia="Times New Roman" w:hAnsi="Times New Roman"/>
          <w:sz w:val="17"/>
          <w:szCs w:val="17"/>
          <w:color w:val="auto"/>
        </w:rPr>
        <w:t>3.1 Adjustments for Stock Splits, Etc. If the Company shall at any time after the Issue Date subdivide its outstanding Common Stock, by split-up or otherwise, or combine its outstanding Common Stock, or issue additional shares of its capital stock in payment of a stock dividend in respect of its Common Stock, the number of shares issuable on the exercise of the unexercised portion of this Warrant shall forthwith be proportionately increased in the case of a subdivision or stock dividend, or proportionately decreased in the case of a combination, and the Exercise Price then applicable to shares covered by the unexercised portion of this Warrant shall forthwith be proportionately decreased in the case of a subdivision or stock dividend, or proportionately increased in the case of combination.</w:t>
      </w:r>
    </w:p>
    <w:p>
      <w:pPr>
        <w:spacing w:after="0" w:line="177" w:lineRule="exact"/>
        <w:rPr>
          <w:sz w:val="20"/>
          <w:szCs w:val="20"/>
          <w:color w:val="auto"/>
        </w:rPr>
      </w:pPr>
    </w:p>
    <w:p>
      <w:pPr>
        <w:ind w:firstLine="405"/>
        <w:spacing w:after="0" w:line="280" w:lineRule="auto"/>
        <w:rPr>
          <w:sz w:val="20"/>
          <w:szCs w:val="20"/>
          <w:color w:val="auto"/>
        </w:rPr>
      </w:pPr>
      <w:r>
        <w:rPr>
          <w:rFonts w:ascii="Times New Roman" w:cs="Times New Roman" w:eastAsia="Times New Roman" w:hAnsi="Times New Roman"/>
          <w:sz w:val="15"/>
          <w:szCs w:val="15"/>
          <w:color w:val="auto"/>
        </w:rPr>
        <w:t>3.2 Adjustment for Reclassification, Reorganization, Etc. In case of any reclassification, capital reorganization, or change of the outstanding Common Stock (other than as a result of a subdivision, combination or stock dividend), or in the case of any consolidation of the Company with, or merger of the Company into, another Person (other than a consolidation or merger in which the Company is the continuing corporation and which does not result in any reclassification or change of the outstanding Common Stock of the Company), or in case of any sale or conveyance to one or more Persons of the property of the Company as an entirety or substantially as an entirety at any time prior to the expiration of this Warrant, then, as a condition of such reclassification, reorganization, change, consolidation, merger, sale or conveyance, lawful provision shall be made, and duly executed documents evidencing the same from the Company or its successor shall be delivered to the Holder of this Warrant, so that the Holder of this Warrant shall have the right at any time prior to the expiration of this Warrant to purchase, at a total price not to exceed that payable upon the exercise of the unexercised portion of this Warrant, the kind and amount of shares of stock and other securities and property receivable upon such reclassification, reorganization, change, consolidation, merger, sale or conveyance by a holder of the number of shares of Common Stock of the Company as to which this Warrant was exercisable immediately prior to such reclassification, reorganization, change, consolidation, merger, sale or conveyance, and in any such case appropriate provision shall be made with respect to the rights and interests of the Holder of this Warrant to the end that the provisions hereof (including, without limitation, provisions for the adjustment of the Exercise Price and of the number of shares purchasable upon exercise of this Warrant) shall thereafter be applicable in relation to any shares of stock, and other securities and property, thereafter deliverable upon exercise hereof. If, as a consequence of any such transaction, solely cash, and no securities or other property of any kind, is deliverable upon exercise of this Warrant, then, in such event, the Company may terminate this Warrant by giving the Holder hereof written notice thereof. Such notice shall specify the date (at least thirty (30) days subsequent to the date on which notice is given) on which, at 3:00 P.M., Norcross, Georgia time, this Warrant shall terminate. Notwithstanding any such notice, this Warrant shall remain exercisable, and otherwise in full force and effect, until such time of termination.</w:t>
      </w:r>
    </w:p>
    <w:p>
      <w:pPr>
        <w:spacing w:after="0" w:line="355"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7"/>
          <w:szCs w:val="17"/>
          <w:color w:val="auto"/>
        </w:rPr>
        <w:t>3.3 Certificate of Adjustment. Whenever the Exercise Price or the number of shares issuable hereunder is adjusted, as herein provided, the Company shall promptly deliver to the registered Holder of this Warrant a certificate of the Treasurer of the Company, which certificate shall state (i) the Exercise Price and the number of shares of Common Stock issuable hereunder after such adjustment, (ii) the facts requiring such adjustment, and (iii) the method of calculation for such adjustment and increase or decrease.</w:t>
      </w:r>
    </w:p>
    <w:p>
      <w:pPr>
        <w:spacing w:after="0" w:line="172"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7"/>
          <w:szCs w:val="17"/>
          <w:color w:val="auto"/>
        </w:rPr>
        <w:t>3.4 Small Adjustments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 adjustment in the Exercise Price shall be required unless such adjustment would require an increase or decrease in the Exercise Price of at least one percent; provided, however, that any adjustments which by reason of this Section 3.4 are not required to be made immediately shall be carried forward and taken into account at the time of exercise of this Warrant or any subsequent adjustment in the Exercise Price which, singly or in combination with any adjustment carried forward, is required to be made under Sections 3.1 or 3.2</w:t>
      </w:r>
      <w:r>
        <w:rPr>
          <w:rFonts w:ascii="Times New Roman" w:cs="Times New Roman" w:eastAsia="Times New Roman" w:hAnsi="Times New Roman"/>
          <w:sz w:val="17"/>
          <w:szCs w:val="17"/>
          <w:i w:val="1"/>
          <w:iCs w:val="1"/>
          <w:color w:val="auto"/>
        </w:rPr>
        <w: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ind w:left="1" w:right="520" w:hanging="1"/>
        <w:spacing w:after="0" w:line="270" w:lineRule="auto"/>
        <w:tabs>
          <w:tab w:leader="none" w:pos="16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Reservation of Stock, etc., Issuable on Exercise of Warrant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Company will at all times reserve and keep available, solely for issuance and delivery upon the exercise of this Warrant, all shares of Common Stock from time to time issuable upon the exercise of this Warrant.</w:t>
      </w:r>
    </w:p>
    <w:p>
      <w:pPr>
        <w:spacing w:after="0" w:line="157"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 of This Warrant, Common Stock, Etc.</w:t>
      </w:r>
    </w:p>
    <w:p>
      <w:pPr>
        <w:spacing w:after="0" w:line="201" w:lineRule="exact"/>
        <w:rPr>
          <w:rFonts w:ascii="Times New Roman" w:cs="Times New Roman" w:eastAsia="Times New Roman" w:hAnsi="Times New Roman"/>
          <w:sz w:val="17"/>
          <w:szCs w:val="17"/>
          <w:color w:val="auto"/>
        </w:rPr>
      </w:pPr>
    </w:p>
    <w:p>
      <w:pPr>
        <w:ind w:left="1" w:right="20" w:firstLine="404"/>
        <w:spacing w:after="0" w:line="248" w:lineRule="auto"/>
        <w:tabs>
          <w:tab w:leader="none" w:pos="63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this Warrant and any transferee hereof or of the Common Stock with respect to which this Warrant may be exercisable, by their acceptance hereof, hereby understand and agree that this Warrant and the Common Stock with respect to which this Warrant may be exercisable have not been registered under the Securities Act, and may not be sold, pledged, hypothecated, donated, or otherwise transferred (whether or not for consideration) without an effective registration statement under the Act or an opinion of counsel satisfactory to the Company and/or submission to the Company of such other evidence as may be satisfactory to counsel to the Company, in each such case, to the effect that any such transfer shall not be in violation of the Act. It shall be a condition to the transfer of this Warrant that any transferee thereof deliver to the Company its written agreement to accept and be bound by all of the terms and conditions of this Warrant.</w:t>
      </w:r>
    </w:p>
    <w:p>
      <w:pPr>
        <w:spacing w:after="0" w:line="177" w:lineRule="exact"/>
        <w:rPr>
          <w:rFonts w:ascii="Times New Roman" w:cs="Times New Roman" w:eastAsia="Times New Roman" w:hAnsi="Times New Roman"/>
          <w:sz w:val="17"/>
          <w:szCs w:val="17"/>
          <w:color w:val="auto"/>
        </w:rPr>
      </w:pPr>
    </w:p>
    <w:p>
      <w:pPr>
        <w:ind w:left="1" w:right="180" w:firstLine="404"/>
        <w:spacing w:after="0" w:line="255" w:lineRule="auto"/>
        <w:tabs>
          <w:tab w:leader="none" w:pos="6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the resale of the shares of Common Stock issuable upon exercise hereof are registered for resale, or may be sold to the public pursuant to Rule 144(b)(1) under the Securities Act, the certificates of the Company that will evidence the shares of Common Stock with respect to which this Warrant may be exercisable will be imprinted with a conspicuous legend in substantially the following form:</w:t>
      </w:r>
    </w:p>
    <w:p>
      <w:pPr>
        <w:spacing w:after="0" w:line="171" w:lineRule="exact"/>
        <w:rPr>
          <w:sz w:val="20"/>
          <w:szCs w:val="20"/>
          <w:color w:val="auto"/>
        </w:rPr>
      </w:pPr>
    </w:p>
    <w:p>
      <w:pPr>
        <w:ind w:left="401" w:right="40"/>
        <w:spacing w:after="0" w:line="248" w:lineRule="auto"/>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(THE “ACT”), AND MAY NOT BE SOLD, PLEDGED, HYPOTHECATED, DONATED OR OTHERWISE TRANSFERRED (WHETHER OR NOT FOR CONSIDERATION) BY THE HOLDER WITHOUT AN EFFECTIVE REGISTRATION STATEMENT UNDER THE ACT OR AN OPINION OF COUNSEL SATISFACTORY TO THE COMPANY AND/OR SUBMISSION TO THE COMPANY OF SUCH OTHER EVIDENCE AS MAY BE SATISFACTORY TO COUNSEL TO THE COMPANY, IN EACH SUCH CASE, TO THE EFFECT THAT ANY SUCH TRANSFER SHALL NOT BE IN VIOLATION OF THE ACT.”</w:t>
      </w:r>
    </w:p>
    <w:p>
      <w:pPr>
        <w:spacing w:after="0" w:line="177" w:lineRule="exact"/>
        <w:rPr>
          <w:sz w:val="20"/>
          <w:szCs w:val="20"/>
          <w:color w:val="auto"/>
        </w:rPr>
      </w:pPr>
    </w:p>
    <w:p>
      <w:pPr>
        <w:ind w:left="1" w:firstLine="405"/>
        <w:spacing w:after="0" w:line="267" w:lineRule="auto"/>
        <w:rPr>
          <w:sz w:val="20"/>
          <w:szCs w:val="20"/>
          <w:color w:val="auto"/>
        </w:rPr>
      </w:pPr>
      <w:r>
        <w:rPr>
          <w:rFonts w:ascii="Times New Roman" w:cs="Times New Roman" w:eastAsia="Times New Roman" w:hAnsi="Times New Roman"/>
          <w:sz w:val="17"/>
          <w:szCs w:val="17"/>
          <w:color w:val="auto"/>
        </w:rPr>
        <w:t>The Company agrees to prepare and file with the Securities Exchange Commission within 180 days from the date of issuance of any shares of Common Stock upon exercise of this Warrant.</w:t>
      </w:r>
    </w:p>
    <w:p>
      <w:pPr>
        <w:spacing w:after="0" w:line="158" w:lineRule="exact"/>
        <w:rPr>
          <w:sz w:val="20"/>
          <w:szCs w:val="20"/>
          <w:color w:val="auto"/>
        </w:rPr>
      </w:pPr>
    </w:p>
    <w:p>
      <w:pPr>
        <w:jc w:val="both"/>
        <w:ind w:left="1" w:right="80" w:hanging="1"/>
        <w:spacing w:after="0" w:line="252" w:lineRule="auto"/>
        <w:tabs>
          <w:tab w:leader="none" w:pos="16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and Obligations of Warrant Holder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Holder of this Warrant shall not, by virtue hereof, be entitled to any voting rights or other rights as a stockholder of the Company. No provision of this Warrant, in the absence of affirmative actions by the Holder to purchase Common Stock of the Company by exercising this Warrant, and no enumeration in this Warrant of the rights or privileges of the Holder, will give rise to any liability of such Holder for the Exercise Price of Common Stock acquirable by exercise hereof or as a stockholder of the Company.</w:t>
      </w:r>
    </w:p>
    <w:p>
      <w:pPr>
        <w:spacing w:after="0" w:line="171" w:lineRule="exact"/>
        <w:rPr>
          <w:rFonts w:ascii="Times New Roman" w:cs="Times New Roman" w:eastAsia="Times New Roman" w:hAnsi="Times New Roman"/>
          <w:sz w:val="17"/>
          <w:szCs w:val="17"/>
          <w:color w:val="auto"/>
        </w:rPr>
      </w:pPr>
    </w:p>
    <w:p>
      <w:pPr>
        <w:ind w:left="1" w:right="60" w:hanging="1"/>
        <w:spacing w:after="0" w:line="250" w:lineRule="auto"/>
        <w:tabs>
          <w:tab w:leader="none" w:pos="16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Warrants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Subject to compliance with the restrictions on transfer applicable to this Warrant referred to in Section 5 hereof, this Warrant and all rights hereunder are transferable, in whole or in part to other Lenders pursuant to the Line of Credit Letter Agreement, without charge to the registered Holder, upon surrender of this Warrant with a properly executed Assignment (in substantially the form attached hereto as Exhibit B), to the Company, and the Company at its expense will issue and deliver to or upon the order of the Holder hereof a new Warrant or Warrants in such denomination or denominations as may be requested, but otherwise of like tenor, in the name of the Holder or as the Holder (upon payment of any applicable transfer taxes) may direct.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21" w:right="339" w:bottom="1440" w:gutter="0" w:footer="0" w:header="0"/>
        </w:sectPr>
      </w:pPr>
    </w:p>
    <w:bookmarkStart w:id="95" w:name="page96"/>
    <w:bookmarkEnd w:id="95"/>
    <w:p>
      <w:pPr>
        <w:ind w:left="1" w:right="80" w:hanging="1"/>
        <w:spacing w:after="0" w:line="307" w:lineRule="auto"/>
        <w:tabs>
          <w:tab w:leader="none" w:pos="166"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Replacement of Warrants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Upon receipt of evidence reasonably satisfactory to the Company of the loss, theft, destruction or mutilation of any Warrant and, in the case of any such loss, theft or destruction, upon delivery of an indemnity agreement reasonably satisfactory in form and amount to the Company or, in the case of any such mutilation, upon surrender and cancellation of such Warrant, the Company at its expense will execute and deliver, in lieu thereof, a new Warrant of like tenor.</w:t>
      </w:r>
    </w:p>
    <w:p>
      <w:pPr>
        <w:spacing w:after="0" w:line="131" w:lineRule="exact"/>
        <w:rPr>
          <w:rFonts w:ascii="Times New Roman" w:cs="Times New Roman" w:eastAsia="Times New Roman" w:hAnsi="Times New Roman"/>
          <w:sz w:val="15"/>
          <w:szCs w:val="15"/>
          <w:color w:val="auto"/>
        </w:rPr>
      </w:pPr>
    </w:p>
    <w:p>
      <w:pPr>
        <w:ind w:left="1" w:right="220" w:hanging="1"/>
        <w:spacing w:after="0" w:line="270" w:lineRule="auto"/>
        <w:tabs>
          <w:tab w:leader="none" w:pos="16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Records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Until this Warrant is transferred on the books of the Company, the Company may treat the registered Holder hereof as the absolute owner hereof for all purposes, notwithstanding any notice to the contrary.</w:t>
      </w:r>
    </w:p>
    <w:p>
      <w:pPr>
        <w:spacing w:after="0" w:line="157" w:lineRule="exact"/>
        <w:rPr>
          <w:rFonts w:ascii="Times New Roman" w:cs="Times New Roman" w:eastAsia="Times New Roman" w:hAnsi="Times New Roman"/>
          <w:sz w:val="17"/>
          <w:szCs w:val="17"/>
          <w:color w:val="auto"/>
        </w:rPr>
      </w:pPr>
    </w:p>
    <w:p>
      <w:pPr>
        <w:ind w:left="281" w:hanging="281"/>
        <w:spacing w:after="0"/>
        <w:tabs>
          <w:tab w:leader="none" w:pos="28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Miscellaneous.</w:t>
      </w:r>
    </w:p>
    <w:p>
      <w:pPr>
        <w:spacing w:after="0" w:line="201" w:lineRule="exact"/>
        <w:rPr>
          <w:sz w:val="20"/>
          <w:szCs w:val="20"/>
          <w:color w:val="auto"/>
        </w:rPr>
      </w:pPr>
    </w:p>
    <w:p>
      <w:pPr>
        <w:ind w:left="1"/>
        <w:spacing w:after="0" w:line="249" w:lineRule="auto"/>
        <w:rPr>
          <w:sz w:val="20"/>
          <w:szCs w:val="20"/>
          <w:color w:val="auto"/>
        </w:rPr>
      </w:pPr>
      <w:r>
        <w:rPr>
          <w:rFonts w:ascii="Times New Roman" w:cs="Times New Roman" w:eastAsia="Times New Roman" w:hAnsi="Times New Roman"/>
          <w:sz w:val="17"/>
          <w:szCs w:val="17"/>
          <w:color w:val="auto"/>
        </w:rPr>
        <w:t>10.1 Notices. All notices and other communications from the Company to the Holder of this Warrant shall be mailed by first class mail, postage prepaid, to such address as may have been furnished to the Company in writing by such Holder, or, until an address is so furnished, to and at the address of the last Holder of this Warrant who has so furnished an address to the Company. All communications from the Holder of this Warrant to the Company shall be mailed by first class mail, postage prepaid, to Galectin Therapeutics, Inc., 4960 Peachtree Industrial Boulevard, Suite 240, Norcross, GA 30071, Attn: Chief Financial Officer, or such other address as may have been furnished to the Holder in writing by the Company.</w:t>
      </w:r>
    </w:p>
    <w:p>
      <w:pPr>
        <w:spacing w:after="0" w:line="177" w:lineRule="exact"/>
        <w:rPr>
          <w:sz w:val="20"/>
          <w:szCs w:val="20"/>
          <w:color w:val="auto"/>
        </w:rPr>
      </w:pPr>
    </w:p>
    <w:p>
      <w:pPr>
        <w:ind w:left="1" w:right="380"/>
        <w:spacing w:after="0" w:line="267" w:lineRule="auto"/>
        <w:rPr>
          <w:sz w:val="20"/>
          <w:szCs w:val="20"/>
          <w:color w:val="auto"/>
        </w:rPr>
      </w:pPr>
      <w:r>
        <w:rPr>
          <w:rFonts w:ascii="Times New Roman" w:cs="Times New Roman" w:eastAsia="Times New Roman" w:hAnsi="Times New Roman"/>
          <w:sz w:val="17"/>
          <w:szCs w:val="17"/>
          <w:color w:val="auto"/>
        </w:rPr>
        <w:t>10.2 Amendment and Waiver. Except as otherwise provided herein, this Warrant and any term hereof may be amended, waived, discharged or terminated only by an instrument in writing signed by the party against which enforcement of such amendment, waiver, discharge or termination is sought.</w:t>
      </w:r>
    </w:p>
    <w:p>
      <w:pPr>
        <w:spacing w:after="0" w:line="160" w:lineRule="exact"/>
        <w:rPr>
          <w:sz w:val="20"/>
          <w:szCs w:val="20"/>
          <w:color w:val="auto"/>
        </w:rPr>
      </w:pPr>
    </w:p>
    <w:p>
      <w:pPr>
        <w:ind w:left="1" w:right="400"/>
        <w:spacing w:after="0" w:line="267" w:lineRule="auto"/>
        <w:rPr>
          <w:sz w:val="20"/>
          <w:szCs w:val="20"/>
          <w:color w:val="auto"/>
        </w:rPr>
      </w:pPr>
      <w:r>
        <w:rPr>
          <w:rFonts w:ascii="Times New Roman" w:cs="Times New Roman" w:eastAsia="Times New Roman" w:hAnsi="Times New Roman"/>
          <w:sz w:val="17"/>
          <w:szCs w:val="17"/>
          <w:color w:val="auto"/>
        </w:rPr>
        <w:t>10.3 Governing Law; Descriptive Headings. This Warrant shall be construed and enforced in accordance with and governed by the laws of the State of Nevada. The headings in this Warrant are for purposes of reference only, and shall not limit or otherwise affect any of the terms 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ON FOLLOWING PAGE]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color w:val="auto"/>
        </w:rPr>
        <w:t>Dated:  ___________, 2024.</w:t>
      </w:r>
    </w:p>
    <w:p>
      <w:pPr>
        <w:spacing w:after="0" w:line="201"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7"/>
          <w:szCs w:val="17"/>
          <w:color w:val="auto"/>
        </w:rPr>
        <w:t>GALECTIN THERAPEUTICS, INC.</w:t>
      </w:r>
    </w:p>
    <w:p>
      <w:pPr>
        <w:spacing w:after="0" w:line="200" w:lineRule="exact"/>
        <w:rPr>
          <w:sz w:val="20"/>
          <w:szCs w:val="20"/>
          <w:color w:val="auto"/>
        </w:r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-120650</wp:posOffset>
            </wp:positionV>
            <wp:extent cx="322135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3221355" cy="15875"/>
                    </a:xfrm>
                    <a:prstGeom prst="rect">
                      <a:avLst/>
                    </a:prstGeom>
                    <a:noFill/>
                  </pic:spPr>
                </pic:pic>
              </a:graphicData>
            </a:graphic>
          </wp:anchor>
        </w:drawing>
      </w:r>
    </w:p>
    <w:p>
      <w:pPr>
        <w:spacing w:after="0" w:line="12"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7"/>
          <w:szCs w:val="17"/>
          <w:color w:val="auto"/>
        </w:rPr>
        <w:t>Title:</w:t>
        <w:tab/>
        <w:t>CFO</w:t>
      </w:r>
    </w:p>
    <w:p>
      <w:pPr>
        <w:spacing w:after="0" w:line="3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7"/>
          <w:szCs w:val="17"/>
          <w:color w:val="auto"/>
        </w:rPr>
        <w:t>EXHIBIT A</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EXERCISE NOTICE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[To be signed only upon exercise of Warrant]</w:t>
      </w:r>
    </w:p>
    <w:p>
      <w:pPr>
        <w:sectPr>
          <w:pgSz w:w="11900" w:h="16838" w:orient="portrait"/>
          <w:cols w:equalWidth="0" w:num="1">
            <w:col w:w="11220"/>
          </w:cols>
          <w:pgMar w:left="320" w:top="123" w:right="359" w:bottom="1440" w:gutter="0" w:footer="0" w:header="0"/>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5"/>
          <w:szCs w:val="15"/>
          <w:color w:val="auto"/>
        </w:rPr>
        <w:t>Date:</w:t>
      </w:r>
    </w:p>
    <w:p>
      <w:pPr>
        <w:spacing w:after="0" w:line="200" w:lineRule="exact"/>
        <w:rPr>
          <w:sz w:val="20"/>
          <w:szCs w:val="20"/>
          <w:color w:val="auto"/>
        </w:rPr>
      </w:pPr>
    </w:p>
    <w:p>
      <w:pPr>
        <w:sectPr>
          <w:pgSz w:w="11900" w:h="16838" w:orient="portrait"/>
          <w:cols w:equalWidth="0" w:num="2">
            <w:col w:w="4920" w:space="720"/>
            <w:col w:w="5580"/>
          </w:cols>
          <w:pgMar w:left="320" w:top="123" w:right="359" w:bottom="1440" w:gutter="0" w:footer="0" w:header="0"/>
          <w:type w:val="continuous"/>
        </w:sectPr>
      </w:pP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undersigned, the Holder of the within Warrant, pursuant to the provisions set forth in the within Warrant, hereby irrevocably elects to exercise the purchase</w:t>
      </w:r>
    </w:p>
    <w:p>
      <w:pPr>
        <w:sectPr>
          <w:pgSz w:w="11900" w:h="16838" w:orient="portrait"/>
          <w:cols w:equalWidth="0" w:num="1">
            <w:col w:w="11220"/>
          </w:cols>
          <w:pgMar w:left="320" w:top="123" w:right="35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rights represented by such Warrant for, and agrees to subscribe for and purchase thereunder, ___________ shares of the Common Stock covered by such Warrant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herewith makes payment of $ _____________ therefor, and requests that the certificates for such shares be issued in the name of, and delivered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 whose address is: ________________________________. If said number of shares is less than all the shares covered by such Warrant, a new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shall be registered in the name of the undersigned and delivered to the address stated below.</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12065</wp:posOffset>
            </wp:positionV>
            <wp:extent cx="214249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2142490" cy="15875"/>
                    </a:xfrm>
                    <a:prstGeom prst="rect">
                      <a:avLst/>
                    </a:prstGeom>
                    <a:noFill/>
                  </pic:spPr>
                </pic:pic>
              </a:graphicData>
            </a:graphic>
          </wp:anchor>
        </w:drawing>
      </w:r>
    </w:p>
    <w:p>
      <w:pPr>
        <w:spacing w:after="0" w:line="19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5"/>
          <w:szCs w:val="15"/>
          <w:color w:val="auto"/>
        </w:rPr>
        <w:t>(Signature must conform in all respects to name of</w:t>
      </w:r>
    </w:p>
    <w:p>
      <w:pPr>
        <w:spacing w:after="0" w:line="4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Holder as specified on the face of the Warrant or</w:t>
      </w:r>
    </w:p>
    <w:p>
      <w:pPr>
        <w:spacing w:after="0" w:line="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on the form of Assignment attached as Exhibit B</w:t>
      </w:r>
    </w:p>
    <w:p>
      <w:pPr>
        <w:spacing w:after="0" w:line="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thereto.)</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272415</wp:posOffset>
            </wp:positionV>
            <wp:extent cx="214249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2142490" cy="1587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12065</wp:posOffset>
            </wp:positionV>
            <wp:extent cx="214249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214249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[Signature Guarantee]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color w:val="auto"/>
        </w:rPr>
        <w:t>EXHIBIT B</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ASSIGNMENT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signed only upon transfer of Warrant]</w:t>
      </w:r>
    </w:p>
    <w:p>
      <w:pPr>
        <w:spacing w:after="0" w:line="201"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7"/>
          <w:szCs w:val="17"/>
          <w:color w:val="auto"/>
        </w:rPr>
        <w:t>For value received, the undersigned hereby sells, assigns and transfers all of the rights of the undersigned under the within Warrant with respect to the number of shares of the Common Stock covered thereby set forth below, unto: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Name of Assignee</w:t>
            </w: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40" w:type="dxa"/>
            <w:vAlign w:val="bottom"/>
            <w:gridSpan w:val="2"/>
          </w:tcPr>
          <w:p>
            <w:pPr>
              <w:ind w:left="2240"/>
              <w:spacing w:after="0"/>
              <w:rPr>
                <w:sz w:val="20"/>
                <w:szCs w:val="20"/>
                <w:color w:val="auto"/>
              </w:rPr>
            </w:pPr>
            <w:r>
              <w:rPr>
                <w:rFonts w:ascii="Times New Roman" w:cs="Times New Roman" w:eastAsia="Times New Roman" w:hAnsi="Times New Roman"/>
                <w:sz w:val="17"/>
                <w:szCs w:val="17"/>
                <w:i w:val="1"/>
                <w:iCs w:val="1"/>
                <w:color w:val="auto"/>
              </w:rPr>
              <w:t>Address</w:t>
            </w:r>
          </w:p>
        </w:tc>
      </w:tr>
      <w:tr>
        <w:trPr>
          <w:trHeight w:val="414"/>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No of Shares: Warrants</w:t>
            </w:r>
          </w:p>
        </w:tc>
        <w:tc>
          <w:tcPr>
            <w:tcW w:w="1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1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Signature</w:t>
            </w:r>
          </w:p>
        </w:tc>
        <w:tc>
          <w:tcPr>
            <w:tcW w:w="4700" w:type="dxa"/>
            <w:vAlign w:val="bottom"/>
            <w:tcBorders>
              <w:bottom w:val="single" w:sz="8" w:color="auto"/>
            </w:tcBorders>
          </w:tcPr>
          <w:p>
            <w:pPr>
              <w:spacing w:after="0"/>
              <w:rPr>
                <w:sz w:val="24"/>
                <w:szCs w:val="24"/>
                <w:color w:val="auto"/>
              </w:rPr>
            </w:pPr>
          </w:p>
        </w:tc>
      </w:tr>
      <w:tr>
        <w:trPr>
          <w:trHeight w:val="380"/>
        </w:trPr>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40" w:type="dxa"/>
            <w:vAlign w:val="bottom"/>
            <w:gridSpan w:val="2"/>
          </w:tcPr>
          <w:p>
            <w:pPr>
              <w:ind w:left="2240"/>
              <w:spacing w:after="0"/>
              <w:rPr>
                <w:sz w:val="20"/>
                <w:szCs w:val="20"/>
                <w:color w:val="auto"/>
              </w:rPr>
            </w:pPr>
            <w:r>
              <w:rPr>
                <w:rFonts w:ascii="Times New Roman" w:cs="Times New Roman" w:eastAsia="Times New Roman" w:hAnsi="Times New Roman"/>
                <w:sz w:val="17"/>
                <w:szCs w:val="17"/>
                <w:color w:val="auto"/>
                <w:w w:val="97"/>
              </w:rPr>
              <w:t>(Signature must conform in all respects to name of Holder as specified</w:t>
            </w:r>
          </w:p>
        </w:tc>
      </w:tr>
      <w:tr>
        <w:trPr>
          <w:trHeight w:val="215"/>
        </w:trPr>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40" w:type="dxa"/>
            <w:vAlign w:val="bottom"/>
            <w:gridSpan w:val="2"/>
          </w:tcPr>
          <w:p>
            <w:pPr>
              <w:ind w:left="2240"/>
              <w:spacing w:after="0"/>
              <w:rPr>
                <w:sz w:val="20"/>
                <w:szCs w:val="20"/>
                <w:color w:val="auto"/>
              </w:rPr>
            </w:pPr>
            <w:r>
              <w:rPr>
                <w:rFonts w:ascii="Times New Roman" w:cs="Times New Roman" w:eastAsia="Times New Roman" w:hAnsi="Times New Roman"/>
                <w:sz w:val="17"/>
                <w:szCs w:val="17"/>
                <w:color w:val="auto"/>
              </w:rPr>
              <w:t>on the face of the Warrant.)</w:t>
            </w:r>
          </w:p>
        </w:tc>
      </w:tr>
      <w:tr>
        <w:trPr>
          <w:trHeight w:val="401"/>
        </w:trPr>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4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Address</w:t>
            </w:r>
          </w:p>
        </w:tc>
      </w:tr>
      <w:tr>
        <w:trPr>
          <w:trHeight w:val="402"/>
        </w:trPr>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00" w:type="dxa"/>
            <w:vAlign w:val="bottom"/>
            <w:tcBorders>
              <w:top w:val="single" w:sz="8" w:color="auto"/>
              <w:bottom w:val="single" w:sz="8" w:color="auto"/>
            </w:tcBorders>
          </w:tcPr>
          <w:p>
            <w:pPr>
              <w:spacing w:after="0"/>
              <w:rPr>
                <w:sz w:val="24"/>
                <w:szCs w:val="24"/>
                <w:color w:val="auto"/>
              </w:rPr>
            </w:pP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4375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43750" cy="31750"/>
                    </a:xfrm>
                    <a:prstGeom prst="rect">
                      <a:avLst/>
                    </a:prstGeom>
                    <a:noFill/>
                  </pic:spPr>
                </pic:pic>
              </a:graphicData>
            </a:graphic>
          </wp:anchor>
        </w:drawing>
        <w:t>Exhibit 19</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Galectin Therapeutics Inc.</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Insider Trading Policy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Adopted by the Board of Directors on December 1,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Purpose</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This Insider Trading Policy (the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which amends and restates the prior Insider Trading Policy adopted October 4, 2011, provides guidelines with respect to transactions in the securities of Galectin Therapeutics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and to ensure that the Company’s officers and directors that are subject to reporting requirements pursuant to Section 16 of the Securities and Exchange Act of 1934 are in compliance with such reporting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Persons Subject to the Policy</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Subject to the Policy</w:t>
      </w:r>
    </w:p>
    <w:p>
      <w:pPr>
        <w:spacing w:after="0" w:line="20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5"/>
          <w:szCs w:val="15"/>
          <w:color w:val="auto"/>
        </w:rPr>
        <w:t>This Policy applies to transactions in the Company's securities (collectively referred to in this Policy as “</w:t>
      </w:r>
      <w:r>
        <w:rPr>
          <w:rFonts w:ascii="Times New Roman" w:cs="Times New Roman" w:eastAsia="Times New Roman" w:hAnsi="Times New Roman"/>
          <w:sz w:val="15"/>
          <w:szCs w:val="15"/>
          <w:u w:val="single" w:color="auto"/>
          <w:color w:val="auto"/>
        </w:rPr>
        <w:t>Company Securities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Individual Responsibility</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255" w:right="339" w:bottom="1440" w:gutter="0" w:footer="0" w:header="0"/>
        </w:sectPr>
      </w:pPr>
    </w:p>
    <w:bookmarkStart w:id="100" w:name="page101"/>
    <w:bookmarkEnd w:id="100"/>
    <w:p>
      <w:pPr>
        <w:jc w:val="both"/>
        <w:spacing w:after="0" w:line="255" w:lineRule="auto"/>
        <w:rPr>
          <w:sz w:val="20"/>
          <w:szCs w:val="20"/>
          <w:color w:val="auto"/>
        </w:rPr>
      </w:pPr>
      <w:r>
        <w:rPr>
          <w:rFonts w:ascii="Times New Roman" w:cs="Times New Roman" w:eastAsia="Times New Roman" w:hAnsi="Times New Roman"/>
          <w:sz w:val="17"/>
          <w:szCs w:val="17"/>
          <w:color w:val="auto"/>
        </w:rPr>
        <w:t>Furthermore, persons subject to this Policy have ethical and legal obligations to comply with reporting requirements pursuant to Section 16 of the Securities and Exchange Act of 1934. Failure to comply with such reporting requirements could subject the Company to reputational damage and civil penalties from the Securities and Exchange Commission.</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You could be subject to severe legal penalties and disciplinary action by the Company for any conduct prohibited by this Policy or applicable securities laws, as described below in more detail under the heading “Consequences of Violations.”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Administration of the Policy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Chief Financial Officer shall serve as the </w:t>
      </w:r>
      <w:r>
        <w:rPr>
          <w:rFonts w:ascii="Times New Roman" w:cs="Times New Roman" w:eastAsia="Times New Roman" w:hAnsi="Times New Roman"/>
          <w:sz w:val="17"/>
          <w:szCs w:val="17"/>
          <w:u w:val="single" w:color="auto"/>
          <w:color w:val="auto"/>
        </w:rPr>
        <w:t>Compliance Officer</w:t>
      </w:r>
      <w:r>
        <w:rPr>
          <w:rFonts w:ascii="Times New Roman" w:cs="Times New Roman" w:eastAsia="Times New Roman" w:hAnsi="Times New Roman"/>
          <w:sz w:val="17"/>
          <w:szCs w:val="17"/>
          <w:color w:val="auto"/>
        </w:rPr>
        <w:t xml:space="preserve"> for the purposes of this Policy, and in his absence, the Chief Operating Officer or another employee designated by the Compliance Officer shall be responsible for administration of this Policy. All determinations and interpretations by the Compliance Officer shall be final and not subject to further review.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Statement of Policy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It is the policy of the. Company that no director,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entities:</w:t>
      </w:r>
    </w:p>
    <w:p>
      <w:pPr>
        <w:spacing w:after="0" w:line="171" w:lineRule="exact"/>
        <w:rPr>
          <w:sz w:val="20"/>
          <w:szCs w:val="20"/>
          <w:color w:val="auto"/>
        </w:rPr>
      </w:pPr>
    </w:p>
    <w:p>
      <w:pPr>
        <w:ind w:left="1180" w:hanging="536"/>
        <w:spacing w:after="0" w:line="267" w:lineRule="auto"/>
        <w:tabs>
          <w:tab w:leader="none" w:pos="11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transactions in Company Securities, except as otherwise specified in this Policy under the headings “Transactions Under Company Plans,” “Transactions Not Involving a Purchase or Sale” and “Rule 10b5-1 Plans;”</w:t>
      </w:r>
    </w:p>
    <w:p>
      <w:pPr>
        <w:spacing w:after="0" w:line="160" w:lineRule="exact"/>
        <w:rPr>
          <w:rFonts w:ascii="Times New Roman" w:cs="Times New Roman" w:eastAsia="Times New Roman" w:hAnsi="Times New Roman"/>
          <w:sz w:val="17"/>
          <w:szCs w:val="17"/>
          <w:color w:val="auto"/>
        </w:rPr>
      </w:pPr>
    </w:p>
    <w:p>
      <w:pPr>
        <w:ind w:left="1180" w:hanging="536"/>
        <w:spacing w:after="0"/>
        <w:tabs>
          <w:tab w:leader="none" w:pos="11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the purchase or sale of any Company Securities;</w:t>
      </w:r>
    </w:p>
    <w:p>
      <w:pPr>
        <w:spacing w:after="0" w:line="201" w:lineRule="exact"/>
        <w:rPr>
          <w:rFonts w:ascii="Times New Roman" w:cs="Times New Roman" w:eastAsia="Times New Roman" w:hAnsi="Times New Roman"/>
          <w:sz w:val="17"/>
          <w:szCs w:val="17"/>
          <w:color w:val="auto"/>
        </w:rPr>
      </w:pPr>
    </w:p>
    <w:p>
      <w:pPr>
        <w:jc w:val="both"/>
        <w:ind w:left="1180" w:hanging="536"/>
        <w:spacing w:after="0" w:line="251" w:lineRule="auto"/>
        <w:tabs>
          <w:tab w:leader="none" w:pos="11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4" w:lineRule="exact"/>
        <w:rPr>
          <w:rFonts w:ascii="Times New Roman" w:cs="Times New Roman" w:eastAsia="Times New Roman" w:hAnsi="Times New Roman"/>
          <w:sz w:val="17"/>
          <w:szCs w:val="17"/>
          <w:color w:val="auto"/>
        </w:rPr>
      </w:pPr>
    </w:p>
    <w:p>
      <w:pPr>
        <w:ind w:left="1180" w:hanging="536"/>
        <w:spacing w:after="0"/>
        <w:tabs>
          <w:tab w:leader="none" w:pos="11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anyone engaged, in the above activities.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Furthermore, it is the policy of the Company that that each director, officer or affiliate of such persons that are subject to the reporting requirements pursuant Section 16 of the Securities and Exchange Act of 1934 comply with such reporting requirement by timely and accurately filing any required reports when engaging in a transaction of the Company’s securities that is required to be reported.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jc w:val="both"/>
        <w:spacing w:after="0" w:line="305" w:lineRule="auto"/>
        <w:rPr>
          <w:sz w:val="20"/>
          <w:szCs w:val="20"/>
          <w:color w:val="auto"/>
        </w:rPr>
      </w:pPr>
      <w:r>
        <w:rPr>
          <w:rFonts w:ascii="Times New Roman" w:cs="Times New Roman" w:eastAsia="Times New Roman" w:hAnsi="Times New Roman"/>
          <w:sz w:val="15"/>
          <w:szCs w:val="15"/>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Definition of Material Nonpublic Information</w:t>
      </w:r>
    </w:p>
    <w:p>
      <w:pPr>
        <w:spacing w:after="0" w:line="205" w:lineRule="exact"/>
        <w:rPr>
          <w:sz w:val="20"/>
          <w:szCs w:val="20"/>
          <w:color w:val="auto"/>
        </w:rPr>
      </w:pPr>
    </w:p>
    <w:p>
      <w:pPr>
        <w:jc w:val="both"/>
        <w:ind w:firstLine="595"/>
        <w:spacing w:after="0" w:line="249" w:lineRule="auto"/>
        <w:rPr>
          <w:sz w:val="20"/>
          <w:szCs w:val="20"/>
          <w:color w:val="auto"/>
        </w:rPr>
      </w:pPr>
      <w:r>
        <w:rPr>
          <w:rFonts w:ascii="Times New Roman" w:cs="Times New Roman" w:eastAsia="Times New Roman" w:hAnsi="Times New Roman"/>
          <w:sz w:val="17"/>
          <w:szCs w:val="17"/>
          <w:u w:val="single" w:color="auto"/>
          <w:color w:val="auto"/>
        </w:rPr>
        <w:t>Material Information</w:t>
      </w:r>
      <w:r>
        <w:rPr>
          <w:rFonts w:ascii="Times New Roman" w:cs="Times New Roman" w:eastAsia="Times New Roman" w:hAnsi="Times New Roman"/>
          <w:sz w:val="17"/>
          <w:szCs w:val="17"/>
          <w:color w:val="auto"/>
        </w:rPr>
        <w:t>. Information is considered “material” if a 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77" w:lineRule="exact"/>
        <w:rPr>
          <w:sz w:val="20"/>
          <w:szCs w:val="20"/>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future earnings or losses, or other earnings guidance;</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previously announced earnings guidance, or the decision to suspend earnings guidance;</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merger, acquisition or tender offer;</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acquisition or disposition of a significant asset;</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joint venture;</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restructuring;</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related party transactions;</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dividend policy, the declaration of a stock split, or an offering of additional securities;</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borrowings or other financing transactions out of the ordinary course;</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 repurchase program for Company Securities;</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Company's pricing or cost structure;</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marketing changes;</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management;</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auditors or notification that the auditor's reports may no longer be relied upon;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ind w:left="600" w:hanging="303"/>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a significant new product, process, or service;</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or threatened significant litigation, or the resolution of such litigation,</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Impending bankruptcy or the existence of severe liquidity problems;</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or loss of a significant customer or supplier;</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clinical trials;</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Prosecution of Company patents; and</w:t>
      </w:r>
    </w:p>
    <w:p>
      <w:pPr>
        <w:spacing w:after="0" w:line="20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a ban on trading in Company Securities or the securities of another company.</w:t>
      </w:r>
    </w:p>
    <w:p>
      <w:pPr>
        <w:spacing w:after="0" w:line="201" w:lineRule="exact"/>
        <w:rPr>
          <w:sz w:val="20"/>
          <w:szCs w:val="20"/>
          <w:color w:val="auto"/>
        </w:rPr>
      </w:pPr>
    </w:p>
    <w:p>
      <w:pPr>
        <w:jc w:val="both"/>
        <w:ind w:firstLine="595"/>
        <w:spacing w:after="0" w:line="248" w:lineRule="auto"/>
        <w:rPr>
          <w:sz w:val="20"/>
          <w:szCs w:val="20"/>
          <w:color w:val="auto"/>
        </w:rPr>
      </w:pPr>
      <w:r>
        <w:rPr>
          <w:rFonts w:ascii="Times New Roman" w:cs="Times New Roman" w:eastAsia="Times New Roman" w:hAnsi="Times New Roman"/>
          <w:sz w:val="17"/>
          <w:szCs w:val="17"/>
          <w:u w:val="single" w:color="auto"/>
          <w:color w:val="auto"/>
        </w:rPr>
        <w:t>When Information is Considered Public</w:t>
      </w:r>
      <w:r>
        <w:rPr>
          <w:rFonts w:ascii="Times New Roman" w:cs="Times New Roman" w:eastAsia="Times New Roman" w:hAnsi="Times New Roman"/>
          <w:sz w:val="17"/>
          <w:szCs w:val="17"/>
          <w:color w:val="auto"/>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Once information is widely disseminated, it is still necessary to afford the investing public with sufficient time to absorb the information. As a general rule, information should not be considered fully absorbed by the marketplace, for as long as the Company is a non-accelerated filer with the SEC,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Transactions by Family Members and Others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7"/>
          <w:szCs w:val="17"/>
          <w:u w:val="single" w:color="auto"/>
          <w:color w:val="auto"/>
        </w:rPr>
        <w:t>Family Members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auto"/>
        </w:rPr>
        <w:t>Transactions by Entities that You Influence or Control</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Policy applies to any entities that you influence or control, including any corporations, partnerships or trusts (collectively referred to as “</w:t>
      </w:r>
      <w:r>
        <w:rPr>
          <w:rFonts w:ascii="Times New Roman" w:cs="Times New Roman" w:eastAsia="Times New Roman" w:hAnsi="Times New Roman"/>
          <w:sz w:val="17"/>
          <w:szCs w:val="17"/>
          <w:u w:val="single" w:color="auto"/>
          <w:color w:val="auto"/>
        </w:rPr>
        <w:t>Controlled Entities</w:t>
      </w:r>
      <w:r>
        <w:rPr>
          <w:rFonts w:ascii="Times New Roman" w:cs="Times New Roman" w:eastAsia="Times New Roman" w:hAnsi="Times New Roman"/>
          <w:sz w:val="17"/>
          <w:szCs w:val="17"/>
          <w:color w:val="auto"/>
        </w:rPr>
        <w:t>”), and transactions by these Controlled Entities should be treated for the purposes of this Policy and applicable securities laws as if they were for your own account.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Under Company Plans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does not apply in the case of the following transactions, except as specifically noted:</w:t>
      </w:r>
    </w:p>
    <w:p>
      <w:pPr>
        <w:spacing w:after="0" w:line="199" w:lineRule="exact"/>
        <w:rPr>
          <w:sz w:val="20"/>
          <w:szCs w:val="20"/>
          <w:color w:val="auto"/>
        </w:rPr>
      </w:pPr>
    </w:p>
    <w:p>
      <w:pPr>
        <w:jc w:val="both"/>
        <w:ind w:firstLine="595"/>
        <w:spacing w:after="0" w:line="252" w:lineRule="auto"/>
        <w:rPr>
          <w:sz w:val="20"/>
          <w:szCs w:val="20"/>
          <w:color w:val="auto"/>
        </w:rPr>
      </w:pPr>
      <w:r>
        <w:rPr>
          <w:rFonts w:ascii="Times New Roman" w:cs="Times New Roman" w:eastAsia="Times New Roman" w:hAnsi="Times New Roman"/>
          <w:sz w:val="17"/>
          <w:szCs w:val="17"/>
          <w:i w:val="1"/>
          <w:iCs w:val="1"/>
          <w:u w:val="single" w:color="auto"/>
          <w:color w:val="auto"/>
        </w:rPr>
        <w:t>Stock Option Exercises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Policy does not apply to the exercise of an employee stock option acquired pursuant to the Company's plans, or to the exercise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71" w:lineRule="exact"/>
        <w:rPr>
          <w:sz w:val="20"/>
          <w:szCs w:val="20"/>
          <w:color w:val="auto"/>
        </w:rPr>
      </w:pPr>
    </w:p>
    <w:p>
      <w:pPr>
        <w:jc w:val="both"/>
        <w:ind w:firstLine="595"/>
        <w:spacing w:after="0" w:line="257" w:lineRule="auto"/>
        <w:rPr>
          <w:sz w:val="20"/>
          <w:szCs w:val="20"/>
          <w:color w:val="auto"/>
        </w:rPr>
      </w:pPr>
      <w:r>
        <w:rPr>
          <w:rFonts w:ascii="Times New Roman" w:cs="Times New Roman" w:eastAsia="Times New Roman" w:hAnsi="Times New Roman"/>
          <w:sz w:val="17"/>
          <w:szCs w:val="17"/>
          <w:i w:val="1"/>
          <w:iCs w:val="1"/>
          <w:u w:val="single" w:color="auto"/>
          <w:color w:val="auto"/>
        </w:rPr>
        <w:t>Restricted Stock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Policy does not apply to the vesting of restricted stock, or the exercise of a tax withholding right pursuant to which you elect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the Company withhold shares of stock to satisfy tax withholding requirements upon the vesting of any restricted stock. The Policy does apply, however, to any market sale of restricted stock.</w:t>
      </w:r>
    </w:p>
    <w:p>
      <w:pPr>
        <w:spacing w:after="0" w:line="166" w:lineRule="exact"/>
        <w:rPr>
          <w:sz w:val="20"/>
          <w:szCs w:val="20"/>
          <w:color w:val="auto"/>
        </w:rPr>
      </w:pPr>
    </w:p>
    <w:p>
      <w:pPr>
        <w:jc w:val="both"/>
        <w:ind w:firstLine="595"/>
        <w:spacing w:after="0" w:line="249" w:lineRule="auto"/>
        <w:rPr>
          <w:sz w:val="20"/>
          <w:szCs w:val="20"/>
          <w:color w:val="auto"/>
        </w:rPr>
      </w:pPr>
      <w:r>
        <w:rPr>
          <w:rFonts w:ascii="Times New Roman" w:cs="Times New Roman" w:eastAsia="Times New Roman" w:hAnsi="Times New Roman"/>
          <w:sz w:val="17"/>
          <w:szCs w:val="17"/>
          <w:i w:val="1"/>
          <w:iCs w:val="1"/>
          <w:u w:val="single" w:color="auto"/>
          <w:color w:val="auto"/>
        </w:rPr>
        <w:t>401(k)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Policy does not apply to purchases of Company Securities in the Company's 401(k) plan resulting from your periodic contribution of money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72" w:lineRule="exact"/>
        <w:rPr>
          <w:sz w:val="20"/>
          <w:szCs w:val="20"/>
          <w:color w:val="auto"/>
        </w:rPr>
      </w:pPr>
    </w:p>
    <w:p>
      <w:pPr>
        <w:jc w:val="both"/>
        <w:ind w:firstLine="595"/>
        <w:spacing w:after="0" w:line="250" w:lineRule="auto"/>
        <w:rPr>
          <w:sz w:val="20"/>
          <w:szCs w:val="20"/>
          <w:color w:val="auto"/>
        </w:rPr>
      </w:pPr>
      <w:r>
        <w:rPr>
          <w:rFonts w:ascii="Times New Roman" w:cs="Times New Roman" w:eastAsia="Times New Roman" w:hAnsi="Times New Roman"/>
          <w:sz w:val="17"/>
          <w:szCs w:val="17"/>
          <w:i w:val="1"/>
          <w:iCs w:val="1"/>
          <w:u w:val="single" w:color="auto"/>
          <w:color w:val="auto"/>
        </w:rPr>
        <w:t>Employee Stock Purchase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Policy does not apply to purchases of Company Securities in the employee stock purchase plan resulting from your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periodic contribution of money to the plan pursuant to the election you made at the time of your enrollment in the plan. This Policy also does not apply to purchases of Company Securities resulting from lump sum contributions to the plan, provided that you elected to participate by lump sum payment at the beginning of the applicable enrollment period. This Policy does apply, however, to your election to participate in the plan for any enrollment period, and to your sales of Company Securities purchased pursuant to the plan.</w:t>
      </w:r>
    </w:p>
    <w:p>
      <w:pPr>
        <w:spacing w:after="0" w:line="173" w:lineRule="exact"/>
        <w:rPr>
          <w:sz w:val="20"/>
          <w:szCs w:val="20"/>
          <w:color w:val="auto"/>
        </w:rPr>
      </w:pPr>
    </w:p>
    <w:p>
      <w:pPr>
        <w:jc w:val="both"/>
        <w:ind w:firstLine="595"/>
        <w:spacing w:after="0" w:line="252" w:lineRule="auto"/>
        <w:rPr>
          <w:sz w:val="20"/>
          <w:szCs w:val="20"/>
          <w:color w:val="auto"/>
        </w:rPr>
      </w:pPr>
      <w:r>
        <w:rPr>
          <w:rFonts w:ascii="Times New Roman" w:cs="Times New Roman" w:eastAsia="Times New Roman" w:hAnsi="Times New Roman"/>
          <w:sz w:val="17"/>
          <w:szCs w:val="17"/>
          <w:i w:val="1"/>
          <w:iCs w:val="1"/>
          <w:u w:val="single" w:color="auto"/>
          <w:color w:val="auto"/>
        </w:rPr>
        <w:t>Dividend Reinvestment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Policy does not apply to purchases of Company Securities under the Company's dividend reinvestment plan resulting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ind w:right="240" w:firstLine="595"/>
        <w:spacing w:after="0" w:line="270" w:lineRule="auto"/>
        <w:rPr>
          <w:sz w:val="20"/>
          <w:szCs w:val="20"/>
          <w:color w:val="auto"/>
        </w:rPr>
      </w:pPr>
      <w:r>
        <w:rPr>
          <w:rFonts w:ascii="Times New Roman" w:cs="Times New Roman" w:eastAsia="Times New Roman" w:hAnsi="Times New Roman"/>
          <w:sz w:val="17"/>
          <w:szCs w:val="17"/>
          <w:i w:val="1"/>
          <w:iCs w:val="1"/>
          <w:u w:val="single" w:color="auto"/>
          <w:color w:val="auto"/>
        </w:rPr>
        <w:t>Other Similar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other purchase of Company Securities from the Company or sales of Company Securities to the Company are not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Transactions Not Involving a Purchase or Sale</w:t>
      </w:r>
    </w:p>
    <w:p>
      <w:pPr>
        <w:spacing w:after="0" w:line="19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Bona fide </w:t>
      </w:r>
      <w:r>
        <w:rPr>
          <w:rFonts w:ascii="Times New Roman" w:cs="Times New Roman" w:eastAsia="Times New Roman" w:hAnsi="Times New Roman"/>
          <w:sz w:val="17"/>
          <w:szCs w:val="17"/>
          <w:color w:val="auto"/>
        </w:rPr>
        <w:t>gifts of securities are not transactions subject to this Policy. Further, transactions in mutual funds that are invested in Company Securities are not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Special and Prohibited Transactions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69" w:lineRule="exact"/>
        <w:rPr>
          <w:sz w:val="20"/>
          <w:szCs w:val="20"/>
          <w:color w:val="auto"/>
        </w:rPr>
      </w:pPr>
    </w:p>
    <w:p>
      <w:pPr>
        <w:jc w:val="both"/>
        <w:ind w:firstLine="595"/>
        <w:spacing w:after="0" w:line="307" w:lineRule="auto"/>
        <w:rPr>
          <w:sz w:val="20"/>
          <w:szCs w:val="20"/>
          <w:color w:val="auto"/>
        </w:rPr>
      </w:pPr>
      <w:r>
        <w:rPr>
          <w:rFonts w:ascii="Times New Roman" w:cs="Times New Roman" w:eastAsia="Times New Roman" w:hAnsi="Times New Roman"/>
          <w:sz w:val="15"/>
          <w:szCs w:val="15"/>
          <w:i w:val="1"/>
          <w:iCs w:val="1"/>
          <w:u w:val="single" w:color="auto"/>
          <w:color w:val="auto"/>
        </w:rPr>
        <w:t>Short-Term Trading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Short-term trading of Company Securities may be distracting to the person and may unduly focus the person on the Company's short-term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132" w:lineRule="exact"/>
        <w:rPr>
          <w:sz w:val="20"/>
          <w:szCs w:val="20"/>
          <w:color w:val="auto"/>
        </w:rPr>
      </w:pPr>
    </w:p>
    <w:p>
      <w:pPr>
        <w:jc w:val="both"/>
        <w:ind w:firstLine="595"/>
        <w:spacing w:after="0" w:line="250" w:lineRule="auto"/>
        <w:rPr>
          <w:sz w:val="20"/>
          <w:szCs w:val="20"/>
          <w:color w:val="auto"/>
        </w:rPr>
      </w:pPr>
      <w:r>
        <w:rPr>
          <w:rFonts w:ascii="Times New Roman" w:cs="Times New Roman" w:eastAsia="Times New Roman" w:hAnsi="Times New Roman"/>
          <w:sz w:val="17"/>
          <w:szCs w:val="17"/>
          <w:i w:val="1"/>
          <w:iCs w:val="1"/>
          <w:u w:val="single" w:color="auto"/>
          <w:color w:val="auto"/>
        </w:rPr>
        <w:t>Short Sales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Short sales of Company Securities (i.e., the sale of a security that the seller does not own) may evidence an expectation on the part of the seller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173" w:lineRule="exact"/>
        <w:rPr>
          <w:sz w:val="20"/>
          <w:szCs w:val="20"/>
          <w:color w:val="auto"/>
        </w:rPr>
      </w:pPr>
    </w:p>
    <w:p>
      <w:pPr>
        <w:jc w:val="both"/>
        <w:ind w:firstLine="595"/>
        <w:spacing w:after="0" w:line="296" w:lineRule="auto"/>
        <w:rPr>
          <w:sz w:val="20"/>
          <w:szCs w:val="20"/>
          <w:color w:val="auto"/>
        </w:rPr>
      </w:pPr>
      <w:r>
        <w:rPr>
          <w:rFonts w:ascii="Times New Roman" w:cs="Times New Roman" w:eastAsia="Times New Roman" w:hAnsi="Times New Roman"/>
          <w:sz w:val="15"/>
          <w:szCs w:val="15"/>
          <w:i w:val="1"/>
          <w:iCs w:val="1"/>
          <w:u w:val="single" w:color="auto"/>
          <w:color w:val="auto"/>
        </w:rPr>
        <w:t>Publicly-Traded Options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Given the relatively short term of publicly-traded options, transactions in options may create the appearance that a director, officer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41" w:lineRule="exact"/>
        <w:rPr>
          <w:sz w:val="20"/>
          <w:szCs w:val="20"/>
          <w:color w:val="auto"/>
        </w:rPr>
      </w:pPr>
    </w:p>
    <w:p>
      <w:pPr>
        <w:jc w:val="both"/>
        <w:ind w:firstLine="595"/>
        <w:spacing w:after="0" w:line="248" w:lineRule="auto"/>
        <w:rPr>
          <w:sz w:val="20"/>
          <w:szCs w:val="20"/>
          <w:color w:val="auto"/>
        </w:rPr>
      </w:pPr>
      <w:r>
        <w:rPr>
          <w:rFonts w:ascii="Times New Roman" w:cs="Times New Roman" w:eastAsia="Times New Roman" w:hAnsi="Times New Roman"/>
          <w:sz w:val="17"/>
          <w:szCs w:val="17"/>
          <w:i w:val="1"/>
          <w:iCs w:val="1"/>
          <w:u w:val="single" w:color="auto"/>
          <w:color w:val="auto"/>
        </w:rPr>
        <w:t>Hedging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Hedging or monetization transactions can be accomplished through a number of possible mechanisms, including through the use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strongly discourages you from engaging in such transactions. Any person wishing to enter into such an arrangement must first submit the proposed transaction for approval by the Compliance Officer. Any request for pre-clearance of a hedging or similar arrangement must be submitted to the Compliance Officer at least two weeks prior to the proposed execution of documents evidencing the proposed transaction and must set forth a justification for the proposed transaction.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both"/>
        <w:ind w:firstLine="595"/>
        <w:spacing w:after="0" w:line="248" w:lineRule="auto"/>
        <w:rPr>
          <w:sz w:val="20"/>
          <w:szCs w:val="20"/>
          <w:color w:val="auto"/>
        </w:rPr>
      </w:pPr>
      <w:r>
        <w:rPr>
          <w:rFonts w:ascii="Times New Roman" w:cs="Times New Roman" w:eastAsia="Times New Roman" w:hAnsi="Times New Roman"/>
          <w:sz w:val="17"/>
          <w:szCs w:val="17"/>
          <w:i w:val="1"/>
          <w:iCs w:val="1"/>
          <w:u w:val="single" w:color="auto"/>
          <w:color w:val="auto"/>
        </w:rPr>
        <w:t>Margin Accounts and Pledged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held in a margin account as collateral for a margin loan may be sold by the broker without the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 Further, directors, officers and other employees are prohibited from lending Company Securities to short sellers, and from holding Company Securities in accounts where the Company Securities may be borrowed by short sellers.</w:t>
      </w:r>
    </w:p>
    <w:p>
      <w:pPr>
        <w:spacing w:after="0" w:line="174" w:lineRule="exact"/>
        <w:rPr>
          <w:sz w:val="20"/>
          <w:szCs w:val="20"/>
          <w:color w:val="auto"/>
        </w:rPr>
      </w:pPr>
    </w:p>
    <w:p>
      <w:pPr>
        <w:jc w:val="both"/>
        <w:ind w:firstLine="595"/>
        <w:spacing w:after="0" w:line="249" w:lineRule="auto"/>
        <w:rPr>
          <w:sz w:val="20"/>
          <w:szCs w:val="20"/>
          <w:color w:val="auto"/>
        </w:rPr>
      </w:pPr>
      <w:r>
        <w:rPr>
          <w:rFonts w:ascii="Times New Roman" w:cs="Times New Roman" w:eastAsia="Times New Roman" w:hAnsi="Times New Roman"/>
          <w:sz w:val="17"/>
          <w:szCs w:val="17"/>
          <w:i w:val="1"/>
          <w:iCs w:val="1"/>
          <w:u w:val="single" w:color="auto"/>
          <w:color w:val="auto"/>
        </w:rPr>
        <w:t>Standing and Limit Orders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Standing and limit orders (except standing and limit orders under approved Rule 10b5-1 Plans, as described below) create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Additional Procedures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69" w:lineRule="exact"/>
        <w:rPr>
          <w:sz w:val="20"/>
          <w:szCs w:val="20"/>
          <w:color w:val="auto"/>
        </w:rPr>
      </w:pPr>
    </w:p>
    <w:p>
      <w:pPr>
        <w:jc w:val="both"/>
        <w:ind w:firstLine="595"/>
        <w:spacing w:after="0" w:line="249" w:lineRule="auto"/>
        <w:rPr>
          <w:sz w:val="20"/>
          <w:szCs w:val="20"/>
          <w:color w:val="auto"/>
        </w:rPr>
      </w:pPr>
      <w:r>
        <w:rPr>
          <w:rFonts w:ascii="Times New Roman" w:cs="Times New Roman" w:eastAsia="Times New Roman" w:hAnsi="Times New Roman"/>
          <w:sz w:val="17"/>
          <w:szCs w:val="17"/>
          <w:i w:val="1"/>
          <w:iCs w:val="1"/>
          <w:u w:val="single" w:color="auto"/>
          <w:color w:val="auto"/>
        </w:rPr>
        <w:t>Pre-Clearance Procedures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persons designated by the Compliance Officer as being subject to these procedures, as well as the Family Members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Controlled Entities of such persons, may not engage in any transaction in Company Securities without first obtaining pre-clearance of the transaction from the Compliance Officer. A request for pre-clearance should be submitted to the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both"/>
        <w:spacing w:after="0" w:line="251" w:lineRule="auto"/>
        <w:rPr>
          <w:sz w:val="20"/>
          <w:szCs w:val="20"/>
          <w:color w:val="auto"/>
        </w:rPr>
      </w:pPr>
      <w:r>
        <w:rPr>
          <w:rFonts w:ascii="Times New Roman" w:cs="Times New Roman" w:eastAsia="Times New Roman" w:hAnsi="Times New Roman"/>
          <w:sz w:val="17"/>
          <w:szCs w:val="17"/>
          <w:color w:val="auto"/>
        </w:rPr>
        <w:t>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72" w:lineRule="exact"/>
        <w:rPr>
          <w:sz w:val="20"/>
          <w:szCs w:val="20"/>
          <w:color w:val="auto"/>
        </w:rPr>
      </w:pPr>
    </w:p>
    <w:p>
      <w:pPr>
        <w:jc w:val="both"/>
        <w:ind w:firstLine="595"/>
        <w:spacing w:after="0" w:line="225" w:lineRule="auto"/>
        <w:rPr>
          <w:sz w:val="20"/>
          <w:szCs w:val="20"/>
          <w:color w:val="auto"/>
        </w:rPr>
      </w:pPr>
      <w:r>
        <w:rPr>
          <w:rFonts w:ascii="Times New Roman" w:cs="Times New Roman" w:eastAsia="Times New Roman" w:hAnsi="Times New Roman"/>
          <w:sz w:val="17"/>
          <w:szCs w:val="17"/>
          <w:i w:val="1"/>
          <w:iCs w:val="1"/>
          <w:u w:val="single" w:color="auto"/>
          <w:color w:val="auto"/>
        </w:rPr>
        <w:t>Quarterly Trading Restrictions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persons designated by the Compliance Officer as subject to this restriction (the “</w:t>
      </w:r>
      <w:r>
        <w:rPr>
          <w:rFonts w:ascii="Times New Roman" w:cs="Times New Roman" w:eastAsia="Times New Roman" w:hAnsi="Times New Roman"/>
          <w:sz w:val="17"/>
          <w:szCs w:val="17"/>
          <w:u w:val="single" w:color="auto"/>
          <w:color w:val="auto"/>
        </w:rPr>
        <w:t>Designated Persons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well as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Family Members or Controlled Entities, may not conduct any transactions involving the Company's Securities (other than as specified by this Policy), during a “</w:t>
      </w:r>
      <w:r>
        <w:rPr>
          <w:rFonts w:ascii="Times New Roman" w:cs="Times New Roman" w:eastAsia="Times New Roman" w:hAnsi="Times New Roman"/>
          <w:sz w:val="17"/>
          <w:szCs w:val="17"/>
          <w:u w:val="single" w:color="auto"/>
          <w:color w:val="auto"/>
        </w:rPr>
        <w:t>Blackout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beginning fifteen (15) days prior to the end of each fiscal quarter and ending on the second (2”) business day following the date of the public release of the Company's earnings results or financial condition for that quarter. In other words, these persons may only conduct transactions in Company Securities during the “Window Period” beginning on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7"/>
          <w:szCs w:val="17"/>
          <w:color w:val="auto"/>
        </w:rPr>
        <w:t>) business day following the public release of the Company's quarterly earnings or financial condition and ending approximately two (2) weeks prior to the close of the next fiscal quarter.</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u w:val="single" w:color="auto"/>
          <w:color w:val="auto"/>
        </w:rPr>
        <w:t>Exceptions</w:t>
      </w:r>
      <w:r>
        <w:rPr>
          <w:rFonts w:ascii="Times New Roman" w:cs="Times New Roman" w:eastAsia="Times New Roman" w:hAnsi="Times New Roman"/>
          <w:sz w:val="17"/>
          <w:szCs w:val="17"/>
          <w:i w:val="1"/>
          <w:iCs w:val="1"/>
          <w:color w:val="auto"/>
        </w:rPr>
        <w:t>.</w:t>
      </w:r>
    </w:p>
    <w:p>
      <w:pPr>
        <w:spacing w:after="0" w:line="203" w:lineRule="exact"/>
        <w:rPr>
          <w:sz w:val="20"/>
          <w:szCs w:val="20"/>
          <w:color w:val="auto"/>
        </w:rPr>
      </w:pPr>
    </w:p>
    <w:p>
      <w:pPr>
        <w:jc w:val="both"/>
        <w:ind w:firstLine="595"/>
        <w:spacing w:after="0" w:line="198" w:lineRule="auto"/>
        <w:tabs>
          <w:tab w:leader="none" w:pos="1132" w:val="left"/>
        </w:tabs>
        <w:numPr>
          <w:ilvl w:val="0"/>
          <w:numId w:val="5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While “Development Stage” Company</w:t>
      </w:r>
      <w:r>
        <w:rPr>
          <w:rFonts w:ascii="Times New Roman" w:cs="Times New Roman" w:eastAsia="Times New Roman" w:hAnsi="Times New Roman"/>
          <w:sz w:val="17"/>
          <w:szCs w:val="17"/>
          <w:color w:val="auto"/>
        </w:rPr>
        <w:t>: This exception applies in the following circumstances: (1) the Company presents itself in its financial statements as a development stage company (i.e., not earning revenue from its principal business) for the applicable reporting period, and (2) the Company does not publicly release its earnings or financial condition before it presents such information in a periodic report (10-K or 10-Q) to be filed with the SEC. In that case, following consultation with the Company's Chief Executive Officer, the Compliance Officer may, by written notice (including by e-mail) to the Designated Persons, (a) suspend application of the Blackout Period for the applicable reporting period, or (b) limit the Blackout Period to (i) the period beginning fifteen (15) days before a periodic report is filed with the SEC and ending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business day after the report is filed, or (ii) such other period as the Compliance Officer determines. If the Compliance Officer does not provide such written notice, the Blackout Period provided by (b)(i) shall apply. By way of example for a (b)(i) Blackout Period, if the Form 10-Q quarterly report for the second quarter is due to be filed on August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and the Compliance Officer does not provide written notice to the contrary, the Blackout Period begins fifteen (15) days before the due date and concludes on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7"/>
          <w:szCs w:val="17"/>
          <w:color w:val="auto"/>
        </w:rPr>
        <w:t>) business day thereafter, whereupon the Window Period begins and extends until the sixteenth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day before the next periodic report is due to be filed.</w:t>
      </w:r>
    </w:p>
    <w:p>
      <w:pPr>
        <w:spacing w:after="0" w:line="191" w:lineRule="exact"/>
        <w:rPr>
          <w:sz w:val="20"/>
          <w:szCs w:val="20"/>
          <w:color w:val="auto"/>
        </w:rPr>
      </w:pPr>
    </w:p>
    <w:p>
      <w:pPr>
        <w:jc w:val="both"/>
        <w:ind w:firstLine="595"/>
        <w:spacing w:after="0" w:line="220" w:lineRule="auto"/>
        <w:rPr>
          <w:sz w:val="20"/>
          <w:szCs w:val="20"/>
          <w:color w:val="auto"/>
        </w:rPr>
      </w:pPr>
      <w:r>
        <w:rPr>
          <w:rFonts w:ascii="Times New Roman" w:cs="Times New Roman" w:eastAsia="Times New Roman" w:hAnsi="Times New Roman"/>
          <w:sz w:val="16"/>
          <w:szCs w:val="16"/>
          <w:color w:val="auto"/>
        </w:rPr>
        <w:t>For avoidance of confusion, if the Company while a development stage company elects to release publicly its earnings or financial condition before the periodic report is filed, the Compliance Officer shall notify the Designated Persons no later than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before the end of the reporting period (e.g., by June 15 for the second quarter), in which case the Blackout Period and the Window Period shall be determined by the rule immediately following “Quarterly Trading Restrictions” above.</w:t>
      </w:r>
    </w:p>
    <w:p>
      <w:pPr>
        <w:spacing w:after="0" w:line="182" w:lineRule="exact"/>
        <w:rPr>
          <w:sz w:val="20"/>
          <w:szCs w:val="20"/>
          <w:color w:val="auto"/>
        </w:rPr>
      </w:pPr>
    </w:p>
    <w:p>
      <w:pPr>
        <w:jc w:val="both"/>
        <w:ind w:firstLine="595"/>
        <w:spacing w:after="0" w:line="255" w:lineRule="auto"/>
        <w:tabs>
          <w:tab w:leader="none" w:pos="1285" w:val="left"/>
        </w:tabs>
        <w:numPr>
          <w:ilvl w:val="0"/>
          <w:numId w:val="5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Pre-Approval</w:t>
      </w:r>
      <w:r>
        <w:rPr>
          <w:rFonts w:ascii="Times New Roman" w:cs="Times New Roman" w:eastAsia="Times New Roman" w:hAnsi="Times New Roman"/>
          <w:sz w:val="17"/>
          <w:szCs w:val="17"/>
          <w:color w:val="auto"/>
        </w:rPr>
        <w:t>. Under certain very limited circumstances, a person subject to this restriction may be permitted to trade during a Blackout Period, but only if the Compliance Officer concludes that the person does not in fact possess material nonpublic information. Persons wishing to trade during a Blackout Period must contact the Compliance Officer for approval at least two business days in advance of any proposed transaction involving Company Securities.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jc w:val="both"/>
        <w:ind w:firstLine="595"/>
        <w:spacing w:after="0" w:line="247" w:lineRule="auto"/>
        <w:rPr>
          <w:sz w:val="20"/>
          <w:szCs w:val="20"/>
          <w:color w:val="auto"/>
        </w:rPr>
      </w:pPr>
      <w:r>
        <w:rPr>
          <w:rFonts w:ascii="Times New Roman" w:cs="Times New Roman" w:eastAsia="Times New Roman" w:hAnsi="Times New Roman"/>
          <w:sz w:val="17"/>
          <w:szCs w:val="17"/>
          <w:i w:val="1"/>
          <w:iCs w:val="1"/>
          <w:u w:val="single" w:color="auto"/>
          <w:color w:val="auto"/>
        </w:rPr>
        <w:t>Event-Specific Trading Restriction Periods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time to time, an event may occur that is material to the Company and is known by only a few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and/or employees. So long as the event remains material and nonpublic, the persons designated by the Compliance Officer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177" w:lineRule="exact"/>
        <w:rPr>
          <w:sz w:val="20"/>
          <w:szCs w:val="20"/>
          <w:color w:val="auto"/>
        </w:rPr>
      </w:pPr>
    </w:p>
    <w:p>
      <w:pPr>
        <w:jc w:val="both"/>
        <w:ind w:firstLine="595"/>
        <w:spacing w:after="0" w:line="252" w:lineRule="auto"/>
        <w:rPr>
          <w:sz w:val="20"/>
          <w:szCs w:val="20"/>
          <w:color w:val="auto"/>
        </w:rPr>
      </w:pPr>
      <w:r>
        <w:rPr>
          <w:rFonts w:ascii="Times New Roman" w:cs="Times New Roman" w:eastAsia="Times New Roman" w:hAnsi="Times New Roman"/>
          <w:sz w:val="17"/>
          <w:szCs w:val="17"/>
          <w:i w:val="1"/>
          <w:iCs w:val="1"/>
          <w:u w:val="single" w:color="auto"/>
          <w:color w:val="auto"/>
        </w:rPr>
        <w:t>Exceptions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quarterly trading restrictions and event-driven trading restrictions do not apply to those transactions to which this Policy does not apply,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Rule 10b5-1 Plans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7"/>
          <w:szCs w:val="17"/>
          <w:u w:val="single" w:color="auto"/>
          <w:color w:val="auto"/>
        </w:rPr>
        <w:t>Rule 10b5-1 Plan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If the plan meets the requirements of Rule 10b5-1, Company Securities may be purchased or sold without regard to certain insider trading restrictions. To comply with the Policy, a Rule 10b5-1 Plan must be approved by the Compliance Officer and meet the requirements of Rule 10b5-1 and the Company's “Guidelines for Rule 10b5-1 Plans,” which may be obtained from the Compliance Officer.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Any Rule 10b5-1 Plan must be submitted for approval five days prior to the entry into the Rule 10b5-1 Plan. No further pre-approval of transactions conducted pursuant to the Rule 10b5-1 Plan will be required.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Post-Termination Transactions</w:t>
      </w:r>
    </w:p>
    <w:p>
      <w:pPr>
        <w:spacing w:after="0" w:line="205" w:lineRule="exact"/>
        <w:rPr>
          <w:sz w:val="20"/>
          <w:szCs w:val="20"/>
          <w:color w:val="auto"/>
        </w:rPr>
      </w:pPr>
    </w:p>
    <w:p>
      <w:pPr>
        <w:jc w:val="both"/>
        <w:ind w:firstLine="595"/>
        <w:spacing w:after="0" w:line="251" w:lineRule="auto"/>
        <w:rPr>
          <w:sz w:val="20"/>
          <w:szCs w:val="20"/>
          <w:color w:val="auto"/>
        </w:rPr>
      </w:pPr>
      <w:r>
        <w:rPr>
          <w:rFonts w:ascii="Times New Roman" w:cs="Times New Roman" w:eastAsia="Times New Roman" w:hAnsi="Times New Roman"/>
          <w:sz w:val="17"/>
          <w:szCs w:val="17"/>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auto"/>
        </w:rPr>
        <w:t>Consequences of Violations</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an individual's failure to comply with this Policy may subject the individual to Company 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Company Assistance</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Any person who has a question about this Policy or its application to any proposed transaction may obtain additional guidance from the Compliance Officer, who can be reached by telephone at (470) 299-4724 or by e-mail at </w:t>
      </w:r>
      <w:r>
        <w:rPr>
          <w:rFonts w:ascii="Times New Roman" w:cs="Times New Roman" w:eastAsia="Times New Roman" w:hAnsi="Times New Roman"/>
          <w:sz w:val="17"/>
          <w:szCs w:val="17"/>
          <w:u w:val="single" w:color="auto"/>
          <w:color w:val="auto"/>
        </w:rPr>
        <w:t>callicutt@galectintherapeutics.com</w:t>
      </w:r>
      <w:r>
        <w:rPr>
          <w:rFonts w:ascii="Times New Roman" w:cs="Times New Roman" w:eastAsia="Times New Roman" w:hAnsi="Times New Roman"/>
          <w:sz w:val="17"/>
          <w:szCs w:val="17"/>
          <w:color w:val="auto"/>
        </w:rPr>
        <w: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9" w:name="page110"/>
    <w:bookmarkEnd w:id="109"/>
    <w:p>
      <w:pPr>
        <w:ind w:left="1"/>
        <w:spacing w:after="0"/>
        <w:rPr>
          <w:sz w:val="20"/>
          <w:szCs w:val="20"/>
          <w:color w:val="auto"/>
        </w:rPr>
      </w:pPr>
      <w:r>
        <w:rPr>
          <w:rFonts w:ascii="Times New Roman" w:cs="Times New Roman" w:eastAsia="Times New Roman" w:hAnsi="Times New Roman"/>
          <w:sz w:val="17"/>
          <w:szCs w:val="17"/>
          <w:u w:val="single" w:color="auto"/>
          <w:color w:val="auto"/>
        </w:rPr>
        <w:t>Certification</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All persons subject to this Policy must certify their understanding of, and intent to comply with, this Policy.</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CERTIFICATION</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I certify that:</w:t>
      </w:r>
    </w:p>
    <w:p>
      <w:pPr>
        <w:spacing w:after="0" w:line="201" w:lineRule="exact"/>
        <w:rPr>
          <w:sz w:val="20"/>
          <w:szCs w:val="20"/>
          <w:color w:val="auto"/>
        </w:rPr>
      </w:pPr>
    </w:p>
    <w:p>
      <w:pPr>
        <w:ind w:left="601" w:hanging="601"/>
        <w:spacing w:after="0" w:line="267" w:lineRule="auto"/>
        <w:tabs>
          <w:tab w:leader="none" w:pos="60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read and understand the Company's Insider Trading Policy (the “Policy”). I understand that the Compliance Officer is available to answer any questions I have regarding the Policy.</w:t>
      </w:r>
    </w:p>
    <w:p>
      <w:pPr>
        <w:spacing w:after="0" w:line="160" w:lineRule="exact"/>
        <w:rPr>
          <w:rFonts w:ascii="Times New Roman" w:cs="Times New Roman" w:eastAsia="Times New Roman" w:hAnsi="Times New Roman"/>
          <w:sz w:val="17"/>
          <w:szCs w:val="17"/>
          <w:color w:val="auto"/>
        </w:rPr>
      </w:pPr>
    </w:p>
    <w:p>
      <w:pPr>
        <w:ind w:left="601" w:hanging="601"/>
        <w:spacing w:after="0"/>
        <w:tabs>
          <w:tab w:leader="none" w:pos="60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date the Policy became effective, or such shorter period of time that I have been an employee of the Company, I have complied with the Policy</w:t>
      </w:r>
    </w:p>
    <w:p>
      <w:pPr>
        <w:spacing w:after="0" w:line="201" w:lineRule="exact"/>
        <w:rPr>
          <w:rFonts w:ascii="Times New Roman" w:cs="Times New Roman" w:eastAsia="Times New Roman" w:hAnsi="Times New Roman"/>
          <w:sz w:val="17"/>
          <w:szCs w:val="17"/>
          <w:color w:val="auto"/>
        </w:rPr>
      </w:pPr>
    </w:p>
    <w:p>
      <w:pPr>
        <w:ind w:left="601" w:hanging="601"/>
        <w:spacing w:after="0"/>
        <w:tabs>
          <w:tab w:leader="none" w:pos="60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will continue to comply with the Policy for as long as I am subject to the Policy.</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20320</wp:posOffset>
            </wp:positionV>
            <wp:extent cx="200025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2000250" cy="15875"/>
                    </a:xfrm>
                    <a:prstGeom prst="rect">
                      <a:avLst/>
                    </a:prstGeom>
                    <a:noFill/>
                  </pic:spPr>
                </pic:pic>
              </a:graphicData>
            </a:graphic>
          </wp:anchor>
        </w:drawing>
      </w:r>
    </w:p>
    <w:p>
      <w:pPr>
        <w:spacing w:after="0" w:line="2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20320</wp:posOffset>
            </wp:positionV>
            <wp:extent cx="200025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2000250" cy="15875"/>
                    </a:xfrm>
                    <a:prstGeom prst="rect">
                      <a:avLst/>
                    </a:prstGeom>
                    <a:noFill/>
                  </pic:spPr>
                </pic:pic>
              </a:graphicData>
            </a:graphic>
          </wp:anchor>
        </w:drawing>
      </w:r>
    </w:p>
    <w:p>
      <w:pPr>
        <w:spacing w:after="0" w:line="2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20320</wp:posOffset>
            </wp:positionV>
            <wp:extent cx="221297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2212975" cy="1587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43750"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7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43750" cy="31750"/>
                    </a:xfrm>
                    <a:prstGeom prst="rect">
                      <a:avLst/>
                    </a:prstGeom>
                    <a:noFill/>
                  </pic:spPr>
                </pic:pic>
              </a:graphicData>
            </a:graphic>
          </wp:anchor>
        </w:drawing>
        <w:t>Exhibit 21.1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REGISTRANT</w:t>
      </w:r>
    </w:p>
    <w:p>
      <w:pPr>
        <w:spacing w:after="0" w:line="185" w:lineRule="exact"/>
        <w:rPr>
          <w:sz w:val="20"/>
          <w:szCs w:val="20"/>
          <w:color w:val="auto"/>
        </w:rPr>
      </w:pPr>
    </w:p>
    <w:p>
      <w:pPr>
        <w:ind w:firstLine="595"/>
        <w:spacing w:after="0" w:line="267" w:lineRule="auto"/>
        <w:rPr>
          <w:sz w:val="20"/>
          <w:szCs w:val="20"/>
          <w:color w:val="auto"/>
        </w:rPr>
      </w:pPr>
      <w:r>
        <w:rPr>
          <w:rFonts w:ascii="Times New Roman" w:cs="Times New Roman" w:eastAsia="Times New Roman" w:hAnsi="Times New Roman"/>
          <w:sz w:val="17"/>
          <w:szCs w:val="17"/>
          <w:color w:val="auto"/>
        </w:rPr>
        <w:t>The following is a list of the Corporation’s subsidiaries as of December 31, 2024. The Corporation owns, directly or indirectly, 100% of the voting securities of each subsidiary, unless noted otherwise.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STATE OR JURISDICTION</w:t>
            </w:r>
          </w:p>
        </w:tc>
      </w:tr>
      <w:tr>
        <w:trPr>
          <w:trHeight w:val="224"/>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OF ORGANIZATION</w:t>
            </w:r>
          </w:p>
        </w:tc>
      </w:tr>
      <w:tr>
        <w:trPr>
          <w:trHeight w:val="182"/>
        </w:trPr>
        <w:tc>
          <w:tcPr>
            <w:tcW w:w="20" w:type="dxa"/>
            <w:vAlign w:val="bottom"/>
          </w:tcPr>
          <w:p>
            <w:pPr>
              <w:spacing w:after="0"/>
              <w:rPr>
                <w:sz w:val="15"/>
                <w:szCs w:val="15"/>
                <w:color w:val="auto"/>
              </w:rPr>
            </w:pPr>
          </w:p>
        </w:tc>
        <w:tc>
          <w:tcPr>
            <w:tcW w:w="55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Galectin Therapeutics Security Corp.</w:t>
            </w:r>
          </w:p>
        </w:tc>
        <w:tc>
          <w:tcPr>
            <w:tcW w:w="220" w:type="dxa"/>
            <w:vAlign w:val="bottom"/>
          </w:tcPr>
          <w:p>
            <w:pPr>
              <w:spacing w:after="0"/>
              <w:rPr>
                <w:sz w:val="15"/>
                <w:szCs w:val="15"/>
                <w:color w:val="auto"/>
              </w:rPr>
            </w:pPr>
          </w:p>
        </w:tc>
        <w:tc>
          <w:tcPr>
            <w:tcW w:w="55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Delaware</w:t>
            </w:r>
          </w:p>
        </w:tc>
      </w:tr>
      <w:tr>
        <w:trPr>
          <w:trHeight w:val="215"/>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Galectin Sciences LLC</w:t>
            </w: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Georgia</w:t>
            </w:r>
          </w:p>
        </w:tc>
      </w:tr>
      <w:tr>
        <w:trPr>
          <w:trHeight w:val="476"/>
        </w:trPr>
        <w:tc>
          <w:tcPr>
            <w:tcW w:w="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1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43750" cy="31115"/>
                    </a:xfrm>
                    <a:prstGeom prst="rect">
                      <a:avLst/>
                    </a:prstGeom>
                    <a:noFill/>
                  </pic:spPr>
                </pic:pic>
              </a:graphicData>
            </a:graphic>
          </wp:anchor>
        </w:drawing>
        <w:t>Exhibit 23.1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46"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5"/>
          <w:szCs w:val="15"/>
          <w:color w:val="auto"/>
        </w:rPr>
        <w:t>We hereby consent to the incorporation by reference in the Registration Statement on Form S-8 (Nos. 333</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198070, 333-225890, 333-249955 and 333-270981), and Registration Statement on Form S-3 (Nos. 333-194747, 333-208674, 333-213138, 333-218112, 333-226402, 333-230085, 333-233193 and 333-271278) of our report dated March 31, 2025 included in this Annual Report on Form 10-K of Galectin Therapeutics, Inc. and Subsidiaries (the “Company”) relating to the consolidated balance sheets of the Company as of December 31, 2024 and 2023, and the related consolidated statements of operations, changes in redeemable convertible preferred stock and stockholders’ equity (deficit), and cash flows, and the related notes (which report expresses an unqualified opinion and contains an emphasis of matter paragraph regarding substantial doubt about the Company’s ability to continue as a going concern) for each of the two years in the period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Cherry Bekaert LLP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Atlanta, Georgia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14375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25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7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43750" cy="31750"/>
                    </a:xfrm>
                    <a:prstGeom prst="rect">
                      <a:avLst/>
                    </a:prstGeom>
                    <a:noFill/>
                  </pic:spPr>
                </pic:pic>
              </a:graphicData>
            </a:graphic>
          </wp:anchor>
        </w:drawing>
        <w:t>Exhibit 31.1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of the Securities Act of 1934</w:t>
      </w:r>
    </w:p>
    <w:p>
      <w:pPr>
        <w:spacing w:after="0" w:line="1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I, Joel Lewis, certify that:</w:t>
      </w:r>
    </w:p>
    <w:p>
      <w:pPr>
        <w:spacing w:after="0" w:line="201" w:lineRule="exact"/>
        <w:rPr>
          <w:sz w:val="20"/>
          <w:szCs w:val="20"/>
          <w:color w:val="auto"/>
        </w:rPr>
      </w:pPr>
    </w:p>
    <w:p>
      <w:pPr>
        <w:ind w:left="441" w:hanging="441"/>
        <w:spacing w:after="0"/>
        <w:tabs>
          <w:tab w:leader="none" w:pos="44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Galectin Therapeutics Inc.;</w:t>
      </w:r>
    </w:p>
    <w:p>
      <w:pPr>
        <w:spacing w:after="0" w:line="201" w:lineRule="exact"/>
        <w:rPr>
          <w:rFonts w:ascii="Times New Roman" w:cs="Times New Roman" w:eastAsia="Times New Roman" w:hAnsi="Times New Roman"/>
          <w:sz w:val="17"/>
          <w:szCs w:val="17"/>
          <w:color w:val="auto"/>
        </w:rPr>
      </w:pPr>
    </w:p>
    <w:p>
      <w:pPr>
        <w:ind w:left="441" w:hanging="441"/>
        <w:spacing w:after="0" w:line="267" w:lineRule="auto"/>
        <w:tabs>
          <w:tab w:leader="none" w:pos="44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17"/>
          <w:szCs w:val="17"/>
          <w:color w:val="auto"/>
        </w:rPr>
      </w:pPr>
    </w:p>
    <w:p>
      <w:pPr>
        <w:ind w:left="441" w:hanging="441"/>
        <w:spacing w:after="0" w:line="267" w:lineRule="auto"/>
        <w:tabs>
          <w:tab w:leader="none" w:pos="44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7"/>
          <w:szCs w:val="17"/>
          <w:color w:val="auto"/>
        </w:rPr>
      </w:pPr>
    </w:p>
    <w:p>
      <w:pPr>
        <w:jc w:val="both"/>
        <w:ind w:left="441" w:hanging="441"/>
        <w:spacing w:after="0" w:line="255" w:lineRule="auto"/>
        <w:tabs>
          <w:tab w:leader="none" w:pos="44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0" w:lineRule="exact"/>
        <w:rPr>
          <w:rFonts w:ascii="Times New Roman" w:cs="Times New Roman" w:eastAsia="Times New Roman" w:hAnsi="Times New Roman"/>
          <w:sz w:val="17"/>
          <w:szCs w:val="17"/>
          <w:color w:val="auto"/>
        </w:rPr>
      </w:pPr>
    </w:p>
    <w:p>
      <w:pPr>
        <w:jc w:val="both"/>
        <w:ind w:left="901" w:hanging="454"/>
        <w:spacing w:after="0" w:line="255" w:lineRule="auto"/>
        <w:tabs>
          <w:tab w:leader="none" w:pos="90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901" w:hanging="454"/>
        <w:spacing w:after="0" w:line="255" w:lineRule="auto"/>
        <w:tabs>
          <w:tab w:leader="none" w:pos="90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901" w:hanging="454"/>
        <w:spacing w:after="0" w:line="267" w:lineRule="auto"/>
        <w:tabs>
          <w:tab w:leader="none" w:pos="90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17"/>
          <w:szCs w:val="17"/>
          <w:color w:val="auto"/>
        </w:rPr>
      </w:pPr>
    </w:p>
    <w:p>
      <w:pPr>
        <w:jc w:val="both"/>
        <w:ind w:left="901" w:hanging="454"/>
        <w:spacing w:after="0" w:line="255" w:lineRule="auto"/>
        <w:tabs>
          <w:tab w:leader="none" w:pos="90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left="441" w:hanging="441"/>
        <w:spacing w:after="0" w:line="267" w:lineRule="auto"/>
        <w:tabs>
          <w:tab w:leader="none" w:pos="44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7"/>
          <w:szCs w:val="17"/>
          <w:color w:val="auto"/>
        </w:rPr>
      </w:pPr>
    </w:p>
    <w:p>
      <w:pPr>
        <w:ind w:left="901" w:hanging="454"/>
        <w:spacing w:after="0" w:line="267" w:lineRule="auto"/>
        <w:tabs>
          <w:tab w:leader="none" w:pos="90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7"/>
          <w:szCs w:val="17"/>
          <w:color w:val="auto"/>
        </w:rPr>
      </w:pPr>
    </w:p>
    <w:p>
      <w:pPr>
        <w:ind w:left="901" w:hanging="454"/>
        <w:spacing w:after="0" w:line="267" w:lineRule="auto"/>
        <w:tabs>
          <w:tab w:leader="none" w:pos="90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1"/>
        <w:spacing w:after="0"/>
        <w:tabs>
          <w:tab w:leader="none" w:pos="5620" w:val="left"/>
        </w:tabs>
        <w:rPr>
          <w:sz w:val="20"/>
          <w:szCs w:val="20"/>
          <w:color w:val="auto"/>
        </w:rPr>
      </w:pPr>
      <w:r>
        <w:rPr>
          <w:rFonts w:ascii="Times New Roman" w:cs="Times New Roman" w:eastAsia="Times New Roman" w:hAnsi="Times New Roman"/>
          <w:sz w:val="17"/>
          <w:szCs w:val="17"/>
          <w:color w:val="auto"/>
        </w:rPr>
        <w:t>March 31, 2025</w:t>
      </w:r>
      <w:r>
        <w:rPr>
          <w:sz w:val="20"/>
          <w:szCs w:val="20"/>
          <w:color w:val="auto"/>
        </w:rPr>
        <w:tab/>
      </w:r>
      <w:r>
        <w:rPr>
          <w:rFonts w:ascii="Times New Roman" w:cs="Times New Roman" w:eastAsia="Times New Roman" w:hAnsi="Times New Roman"/>
          <w:sz w:val="15"/>
          <w:szCs w:val="15"/>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12065</wp:posOffset>
            </wp:positionV>
            <wp:extent cx="356806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3568065" cy="15875"/>
                    </a:xfrm>
                    <a:prstGeom prst="rect">
                      <a:avLst/>
                    </a:prstGeom>
                    <a:noFill/>
                  </pic:spPr>
                </pic:pic>
              </a:graphicData>
            </a:graphic>
          </wp:anchor>
        </w:drawing>
      </w:r>
    </w:p>
    <w:p>
      <w:pPr>
        <w:spacing w:after="0" w:line="8" w:lineRule="exact"/>
        <w:rPr>
          <w:sz w:val="20"/>
          <w:szCs w:val="20"/>
          <w:color w:val="auto"/>
        </w:rPr>
      </w:pPr>
    </w:p>
    <w:p>
      <w:pPr>
        <w:ind w:left="5641"/>
        <w:spacing w:after="0"/>
        <w:rPr>
          <w:sz w:val="20"/>
          <w:szCs w:val="20"/>
          <w:color w:val="auto"/>
        </w:rPr>
      </w:pPr>
      <w:r>
        <w:rPr>
          <w:rFonts w:ascii="Times New Roman" w:cs="Times New Roman" w:eastAsia="Times New Roman" w:hAnsi="Times New Roman"/>
          <w:sz w:val="17"/>
          <w:szCs w:val="17"/>
          <w:color w:val="auto"/>
        </w:rPr>
        <w:t>Name:  Joel Lewis</w:t>
      </w:r>
    </w:p>
    <w:p>
      <w:pPr>
        <w:spacing w:after="0" w:line="20" w:lineRule="exact"/>
        <w:rPr>
          <w:sz w:val="20"/>
          <w:szCs w:val="20"/>
          <w:color w:val="auto"/>
        </w:rPr>
      </w:pPr>
    </w:p>
    <w:p>
      <w:pPr>
        <w:ind w:left="5641"/>
        <w:spacing w:after="0"/>
        <w:tabs>
          <w:tab w:leader="none" w:pos="6160" w:val="left"/>
        </w:tabs>
        <w:rPr>
          <w:sz w:val="20"/>
          <w:szCs w:val="20"/>
          <w:color w:val="auto"/>
        </w:rPr>
      </w:pPr>
      <w:r>
        <w:rPr>
          <w:rFonts w:ascii="Times New Roman" w:cs="Times New Roman" w:eastAsia="Times New Roman" w:hAnsi="Times New Roman"/>
          <w:sz w:val="17"/>
          <w:szCs w:val="17"/>
          <w:color w:val="auto"/>
        </w:rPr>
        <w:t>Title:</w:t>
        <w:tab/>
        <w:t>Chief Executive Officer and President</w:t>
      </w:r>
    </w:p>
    <w:p>
      <w:pPr>
        <w:spacing w:after="0" w:line="3" w:lineRule="exact"/>
        <w:rPr>
          <w:sz w:val="20"/>
          <w:szCs w:val="20"/>
          <w:color w:val="auto"/>
        </w:rPr>
      </w:pPr>
    </w:p>
    <w:p>
      <w:pPr>
        <w:ind w:left="6181"/>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143750"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25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7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143750" cy="31750"/>
                    </a:xfrm>
                    <a:prstGeom prst="rect">
                      <a:avLst/>
                    </a:prstGeom>
                    <a:noFill/>
                  </pic:spPr>
                </pic:pic>
              </a:graphicData>
            </a:graphic>
          </wp:anchor>
        </w:drawing>
        <w:t>Exhibit 31.2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of the Securities Act of 1934</w:t>
      </w:r>
    </w:p>
    <w:p>
      <w:pPr>
        <w:spacing w:after="0" w:line="1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I, Jack W. Callicutt, certify that:</w:t>
      </w:r>
    </w:p>
    <w:p>
      <w:pPr>
        <w:spacing w:after="0" w:line="201" w:lineRule="exact"/>
        <w:rPr>
          <w:sz w:val="20"/>
          <w:szCs w:val="20"/>
          <w:color w:val="auto"/>
        </w:rPr>
      </w:pPr>
    </w:p>
    <w:p>
      <w:pPr>
        <w:ind w:left="441" w:hanging="441"/>
        <w:spacing w:after="0"/>
        <w:tabs>
          <w:tab w:leader="none" w:pos="44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Galectin Therapeutics Inc.;</w:t>
      </w:r>
    </w:p>
    <w:p>
      <w:pPr>
        <w:spacing w:after="0" w:line="201" w:lineRule="exact"/>
        <w:rPr>
          <w:rFonts w:ascii="Times New Roman" w:cs="Times New Roman" w:eastAsia="Times New Roman" w:hAnsi="Times New Roman"/>
          <w:sz w:val="17"/>
          <w:szCs w:val="17"/>
          <w:color w:val="auto"/>
        </w:rPr>
      </w:pPr>
    </w:p>
    <w:p>
      <w:pPr>
        <w:ind w:left="441" w:hanging="441"/>
        <w:spacing w:after="0" w:line="267" w:lineRule="auto"/>
        <w:tabs>
          <w:tab w:leader="none" w:pos="44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17"/>
          <w:szCs w:val="17"/>
          <w:color w:val="auto"/>
        </w:rPr>
      </w:pPr>
    </w:p>
    <w:p>
      <w:pPr>
        <w:ind w:left="441" w:hanging="441"/>
        <w:spacing w:after="0" w:line="267" w:lineRule="auto"/>
        <w:tabs>
          <w:tab w:leader="none" w:pos="44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7"/>
          <w:szCs w:val="17"/>
          <w:color w:val="auto"/>
        </w:rPr>
      </w:pPr>
    </w:p>
    <w:p>
      <w:pPr>
        <w:jc w:val="both"/>
        <w:ind w:left="441" w:hanging="441"/>
        <w:spacing w:after="0" w:line="255" w:lineRule="auto"/>
        <w:tabs>
          <w:tab w:leader="none" w:pos="44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0" w:lineRule="exact"/>
        <w:rPr>
          <w:rFonts w:ascii="Times New Roman" w:cs="Times New Roman" w:eastAsia="Times New Roman" w:hAnsi="Times New Roman"/>
          <w:sz w:val="17"/>
          <w:szCs w:val="17"/>
          <w:color w:val="auto"/>
        </w:rPr>
      </w:pPr>
    </w:p>
    <w:p>
      <w:pPr>
        <w:jc w:val="both"/>
        <w:ind w:left="901" w:hanging="454"/>
        <w:spacing w:after="0" w:line="255" w:lineRule="auto"/>
        <w:tabs>
          <w:tab w:leader="none" w:pos="90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901" w:hanging="454"/>
        <w:spacing w:after="0" w:line="255" w:lineRule="auto"/>
        <w:tabs>
          <w:tab w:leader="none" w:pos="90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901" w:hanging="454"/>
        <w:spacing w:after="0" w:line="267" w:lineRule="auto"/>
        <w:tabs>
          <w:tab w:leader="none" w:pos="90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17"/>
          <w:szCs w:val="17"/>
          <w:color w:val="auto"/>
        </w:rPr>
      </w:pPr>
    </w:p>
    <w:p>
      <w:pPr>
        <w:jc w:val="both"/>
        <w:ind w:left="901" w:hanging="454"/>
        <w:spacing w:after="0" w:line="255" w:lineRule="auto"/>
        <w:tabs>
          <w:tab w:leader="none" w:pos="90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left="441" w:hanging="441"/>
        <w:spacing w:after="0" w:line="267" w:lineRule="auto"/>
        <w:tabs>
          <w:tab w:leader="none" w:pos="44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7"/>
          <w:szCs w:val="17"/>
          <w:color w:val="auto"/>
        </w:rPr>
      </w:pPr>
    </w:p>
    <w:p>
      <w:pPr>
        <w:ind w:left="901" w:hanging="454"/>
        <w:spacing w:after="0" w:line="267" w:lineRule="auto"/>
        <w:tabs>
          <w:tab w:leader="none" w:pos="90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7"/>
          <w:szCs w:val="17"/>
          <w:color w:val="auto"/>
        </w:rPr>
      </w:pPr>
    </w:p>
    <w:p>
      <w:pPr>
        <w:ind w:left="901" w:hanging="454"/>
        <w:spacing w:after="0" w:line="267" w:lineRule="auto"/>
        <w:tabs>
          <w:tab w:leader="none" w:pos="90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1"/>
        <w:spacing w:after="0"/>
        <w:tabs>
          <w:tab w:leader="none" w:pos="5620" w:val="left"/>
        </w:tabs>
        <w:rPr>
          <w:sz w:val="20"/>
          <w:szCs w:val="20"/>
          <w:color w:val="auto"/>
        </w:rPr>
      </w:pPr>
      <w:r>
        <w:rPr>
          <w:rFonts w:ascii="Times New Roman" w:cs="Times New Roman" w:eastAsia="Times New Roman" w:hAnsi="Times New Roman"/>
          <w:sz w:val="17"/>
          <w:szCs w:val="17"/>
          <w:color w:val="auto"/>
        </w:rPr>
        <w:t>March 31, 2025</w:t>
      </w:r>
      <w:r>
        <w:rPr>
          <w:sz w:val="20"/>
          <w:szCs w:val="20"/>
          <w:color w:val="auto"/>
        </w:rPr>
        <w:tab/>
      </w:r>
      <w:r>
        <w:rPr>
          <w:rFonts w:ascii="Times New Roman" w:cs="Times New Roman" w:eastAsia="Times New Roman" w:hAnsi="Times New Roman"/>
          <w:sz w:val="15"/>
          <w:szCs w:val="15"/>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12065</wp:posOffset>
            </wp:positionV>
            <wp:extent cx="356806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3568065" cy="15875"/>
                    </a:xfrm>
                    <a:prstGeom prst="rect">
                      <a:avLst/>
                    </a:prstGeom>
                    <a:noFill/>
                  </pic:spPr>
                </pic:pic>
              </a:graphicData>
            </a:graphic>
          </wp:anchor>
        </w:drawing>
      </w:r>
    </w:p>
    <w:p>
      <w:pPr>
        <w:spacing w:after="0" w:line="8" w:lineRule="exact"/>
        <w:rPr>
          <w:sz w:val="20"/>
          <w:szCs w:val="20"/>
          <w:color w:val="auto"/>
        </w:rPr>
      </w:pPr>
    </w:p>
    <w:p>
      <w:pPr>
        <w:ind w:left="5641"/>
        <w:spacing w:after="0"/>
        <w:rPr>
          <w:sz w:val="20"/>
          <w:szCs w:val="20"/>
          <w:color w:val="auto"/>
        </w:rPr>
      </w:pPr>
      <w:r>
        <w:rPr>
          <w:rFonts w:ascii="Times New Roman" w:cs="Times New Roman" w:eastAsia="Times New Roman" w:hAnsi="Times New Roman"/>
          <w:sz w:val="17"/>
          <w:szCs w:val="17"/>
          <w:color w:val="auto"/>
        </w:rPr>
        <w:t>Name:  Jack W. Callicutt</w:t>
      </w:r>
    </w:p>
    <w:p>
      <w:pPr>
        <w:spacing w:after="0" w:line="20" w:lineRule="exact"/>
        <w:rPr>
          <w:sz w:val="20"/>
          <w:szCs w:val="20"/>
          <w:color w:val="auto"/>
        </w:rPr>
      </w:pPr>
    </w:p>
    <w:p>
      <w:pPr>
        <w:ind w:left="5641"/>
        <w:spacing w:after="0"/>
        <w:tabs>
          <w:tab w:leader="none" w:pos="616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3" w:lineRule="exact"/>
        <w:rPr>
          <w:sz w:val="20"/>
          <w:szCs w:val="20"/>
          <w:color w:val="auto"/>
        </w:rPr>
      </w:pPr>
    </w:p>
    <w:p>
      <w:pPr>
        <w:ind w:left="6181"/>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14375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25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143750" cy="31115"/>
                    </a:xfrm>
                    <a:prstGeom prst="rect">
                      <a:avLst/>
                    </a:prstGeom>
                    <a:noFill/>
                  </pic:spPr>
                </pic:pic>
              </a:graphicData>
            </a:graphic>
          </wp:anchor>
        </w:drawing>
        <w:t>Exhibit 32.1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85" w:lineRule="exact"/>
        <w:rPr>
          <w:sz w:val="20"/>
          <w:szCs w:val="20"/>
          <w:color w:val="auto"/>
        </w:rPr>
      </w:pPr>
    </w:p>
    <w:p>
      <w:pPr>
        <w:jc w:val="both"/>
        <w:ind w:left="1" w:firstLine="595"/>
        <w:spacing w:after="0" w:line="255" w:lineRule="auto"/>
        <w:rPr>
          <w:sz w:val="20"/>
          <w:szCs w:val="20"/>
          <w:color w:val="auto"/>
        </w:rPr>
      </w:pPr>
      <w:r>
        <w:rPr>
          <w:rFonts w:ascii="Times New Roman" w:cs="Times New Roman" w:eastAsia="Times New Roman" w:hAnsi="Times New Roman"/>
          <w:sz w:val="17"/>
          <w:szCs w:val="17"/>
          <w:color w:val="auto"/>
        </w:rPr>
        <w:t>In connection with the Annual Report of Galectin Therapeutics Inc. (the “Company”) on Form 10-K for the period ended December 31, 2024 as filed with the Securities and Exchange Commission on the date hereof (the “Report”), I, Joel Lewis, Chief Executive Officer and President of the Company, certify, pursuant to 18 U.S.C. §1350, as adopted pursuant to §906 of the Sarbanes-Oxley Act of 2002, that, to my knowledge:</w:t>
      </w:r>
    </w:p>
    <w:p>
      <w:pPr>
        <w:spacing w:after="0" w:line="171" w:lineRule="exact"/>
        <w:rPr>
          <w:sz w:val="20"/>
          <w:szCs w:val="20"/>
          <w:color w:val="auto"/>
        </w:rPr>
      </w:pPr>
    </w:p>
    <w:p>
      <w:pPr>
        <w:ind w:left="441" w:hanging="441"/>
        <w:spacing w:after="0"/>
        <w:tabs>
          <w:tab w:leader="none" w:pos="44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01" w:lineRule="exact"/>
        <w:rPr>
          <w:sz w:val="20"/>
          <w:szCs w:val="20"/>
          <w:color w:val="auto"/>
        </w:rPr>
      </w:pPr>
    </w:p>
    <w:p>
      <w:pPr>
        <w:ind w:left="1"/>
        <w:spacing w:after="0"/>
        <w:tabs>
          <w:tab w:leader="none" w:pos="5620" w:val="left"/>
        </w:tabs>
        <w:rPr>
          <w:sz w:val="20"/>
          <w:szCs w:val="20"/>
          <w:color w:val="auto"/>
        </w:rPr>
      </w:pPr>
      <w:r>
        <w:rPr>
          <w:rFonts w:ascii="Times New Roman" w:cs="Times New Roman" w:eastAsia="Times New Roman" w:hAnsi="Times New Roman"/>
          <w:sz w:val="17"/>
          <w:szCs w:val="17"/>
          <w:color w:val="auto"/>
        </w:rPr>
        <w:t>March 31, 2025</w:t>
      </w:r>
      <w:r>
        <w:rPr>
          <w:sz w:val="20"/>
          <w:szCs w:val="20"/>
          <w:color w:val="auto"/>
        </w:rPr>
        <w:tab/>
      </w:r>
      <w:r>
        <w:rPr>
          <w:rFonts w:ascii="Times New Roman" w:cs="Times New Roman" w:eastAsia="Times New Roman" w:hAnsi="Times New Roman"/>
          <w:sz w:val="15"/>
          <w:szCs w:val="15"/>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12065</wp:posOffset>
            </wp:positionV>
            <wp:extent cx="356806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3568065" cy="15875"/>
                    </a:xfrm>
                    <a:prstGeom prst="rect">
                      <a:avLst/>
                    </a:prstGeom>
                    <a:noFill/>
                  </pic:spPr>
                </pic:pic>
              </a:graphicData>
            </a:graphic>
          </wp:anchor>
        </w:drawing>
      </w:r>
    </w:p>
    <w:p>
      <w:pPr>
        <w:spacing w:after="0" w:line="8" w:lineRule="exact"/>
        <w:rPr>
          <w:sz w:val="20"/>
          <w:szCs w:val="20"/>
          <w:color w:val="auto"/>
        </w:rPr>
      </w:pPr>
    </w:p>
    <w:p>
      <w:pPr>
        <w:ind w:left="5641"/>
        <w:spacing w:after="0"/>
        <w:rPr>
          <w:sz w:val="20"/>
          <w:szCs w:val="20"/>
          <w:color w:val="auto"/>
        </w:rPr>
      </w:pPr>
      <w:r>
        <w:rPr>
          <w:rFonts w:ascii="Times New Roman" w:cs="Times New Roman" w:eastAsia="Times New Roman" w:hAnsi="Times New Roman"/>
          <w:sz w:val="17"/>
          <w:szCs w:val="17"/>
          <w:color w:val="auto"/>
        </w:rPr>
        <w:t>Name:  Joel Lewis</w:t>
      </w:r>
    </w:p>
    <w:p>
      <w:pPr>
        <w:spacing w:after="0" w:line="20" w:lineRule="exact"/>
        <w:rPr>
          <w:sz w:val="20"/>
          <w:szCs w:val="20"/>
          <w:color w:val="auto"/>
        </w:rPr>
      </w:pPr>
    </w:p>
    <w:p>
      <w:pPr>
        <w:ind w:left="5641"/>
        <w:spacing w:after="0"/>
        <w:tabs>
          <w:tab w:leader="none" w:pos="6160" w:val="left"/>
        </w:tabs>
        <w:rPr>
          <w:sz w:val="20"/>
          <w:szCs w:val="20"/>
          <w:color w:val="auto"/>
        </w:rPr>
      </w:pPr>
      <w:r>
        <w:rPr>
          <w:rFonts w:ascii="Times New Roman" w:cs="Times New Roman" w:eastAsia="Times New Roman" w:hAnsi="Times New Roman"/>
          <w:sz w:val="17"/>
          <w:szCs w:val="17"/>
          <w:color w:val="auto"/>
        </w:rPr>
        <w:t>Title:</w:t>
        <w:tab/>
        <w:t>Chief Executive Officer and President</w:t>
      </w:r>
    </w:p>
    <w:p>
      <w:pPr>
        <w:spacing w:after="0" w:line="3" w:lineRule="exact"/>
        <w:rPr>
          <w:sz w:val="20"/>
          <w:szCs w:val="20"/>
          <w:color w:val="auto"/>
        </w:rPr>
      </w:pPr>
    </w:p>
    <w:p>
      <w:pPr>
        <w:ind w:left="6181"/>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14375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25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7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43750" cy="31750"/>
                    </a:xfrm>
                    <a:prstGeom prst="rect">
                      <a:avLst/>
                    </a:prstGeom>
                    <a:noFill/>
                  </pic:spPr>
                </pic:pic>
              </a:graphicData>
            </a:graphic>
          </wp:anchor>
        </w:drawing>
        <w:t>Exhibit 32.2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85" w:lineRule="exact"/>
        <w:rPr>
          <w:sz w:val="20"/>
          <w:szCs w:val="20"/>
          <w:color w:val="auto"/>
        </w:rPr>
      </w:pPr>
    </w:p>
    <w:p>
      <w:pPr>
        <w:jc w:val="both"/>
        <w:ind w:left="1" w:firstLine="595"/>
        <w:spacing w:after="0" w:line="255" w:lineRule="auto"/>
        <w:rPr>
          <w:sz w:val="20"/>
          <w:szCs w:val="20"/>
          <w:color w:val="auto"/>
        </w:rPr>
      </w:pPr>
      <w:r>
        <w:rPr>
          <w:rFonts w:ascii="Times New Roman" w:cs="Times New Roman" w:eastAsia="Times New Roman" w:hAnsi="Times New Roman"/>
          <w:sz w:val="17"/>
          <w:szCs w:val="17"/>
          <w:color w:val="auto"/>
        </w:rPr>
        <w:t>In connection with the Annual Report of Galectin Therapeutics Inc. (the “Company”) on Form 10-K for the period ended December 31, 2024 as filed with the Securities and Exchange Commission on the date hereof (the “Report”), I, Jack W. Callicutt, Chief Financial Officer, certify, pursuant to 18 U.S.C. §1350, as adopted pursuant to §906 of the Sarbanes-Oxley Act of 2002, that, to my knowledge:</w:t>
      </w:r>
    </w:p>
    <w:p>
      <w:pPr>
        <w:spacing w:after="0" w:line="171" w:lineRule="exact"/>
        <w:rPr>
          <w:sz w:val="20"/>
          <w:szCs w:val="20"/>
          <w:color w:val="auto"/>
        </w:rPr>
      </w:pPr>
    </w:p>
    <w:p>
      <w:pPr>
        <w:ind w:left="441" w:hanging="441"/>
        <w:spacing w:after="0"/>
        <w:tabs>
          <w:tab w:leader="none" w:pos="44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01" w:lineRule="exact"/>
        <w:rPr>
          <w:sz w:val="20"/>
          <w:szCs w:val="20"/>
          <w:color w:val="auto"/>
        </w:rPr>
      </w:pPr>
    </w:p>
    <w:p>
      <w:pPr>
        <w:ind w:left="1"/>
        <w:spacing w:after="0"/>
        <w:tabs>
          <w:tab w:leader="none" w:pos="5620" w:val="left"/>
        </w:tabs>
        <w:rPr>
          <w:sz w:val="20"/>
          <w:szCs w:val="20"/>
          <w:color w:val="auto"/>
        </w:rPr>
      </w:pPr>
      <w:r>
        <w:rPr>
          <w:rFonts w:ascii="Times New Roman" w:cs="Times New Roman" w:eastAsia="Times New Roman" w:hAnsi="Times New Roman"/>
          <w:sz w:val="17"/>
          <w:szCs w:val="17"/>
          <w:color w:val="auto"/>
        </w:rPr>
        <w:t>March 31, 2025</w:t>
      </w:r>
      <w:r>
        <w:rPr>
          <w:sz w:val="20"/>
          <w:szCs w:val="20"/>
          <w:color w:val="auto"/>
        </w:rPr>
        <w:tab/>
      </w:r>
      <w:r>
        <w:rPr>
          <w:rFonts w:ascii="Times New Roman" w:cs="Times New Roman" w:eastAsia="Times New Roman" w:hAnsi="Times New Roman"/>
          <w:sz w:val="15"/>
          <w:szCs w:val="15"/>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12065</wp:posOffset>
            </wp:positionV>
            <wp:extent cx="356806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3568065" cy="15875"/>
                    </a:xfrm>
                    <a:prstGeom prst="rect">
                      <a:avLst/>
                    </a:prstGeom>
                    <a:noFill/>
                  </pic:spPr>
                </pic:pic>
              </a:graphicData>
            </a:graphic>
          </wp:anchor>
        </w:drawing>
      </w:r>
    </w:p>
    <w:p>
      <w:pPr>
        <w:spacing w:after="0" w:line="8" w:lineRule="exact"/>
        <w:rPr>
          <w:sz w:val="20"/>
          <w:szCs w:val="20"/>
          <w:color w:val="auto"/>
        </w:rPr>
      </w:pPr>
    </w:p>
    <w:p>
      <w:pPr>
        <w:ind w:left="5641"/>
        <w:spacing w:after="0"/>
        <w:rPr>
          <w:sz w:val="20"/>
          <w:szCs w:val="20"/>
          <w:color w:val="auto"/>
        </w:rPr>
      </w:pPr>
      <w:r>
        <w:rPr>
          <w:rFonts w:ascii="Times New Roman" w:cs="Times New Roman" w:eastAsia="Times New Roman" w:hAnsi="Times New Roman"/>
          <w:sz w:val="17"/>
          <w:szCs w:val="17"/>
          <w:color w:val="auto"/>
        </w:rPr>
        <w:t>Name:  Jack W. Callicutt</w:t>
      </w:r>
    </w:p>
    <w:p>
      <w:pPr>
        <w:spacing w:after="0" w:line="20" w:lineRule="exact"/>
        <w:rPr>
          <w:sz w:val="20"/>
          <w:szCs w:val="20"/>
          <w:color w:val="auto"/>
        </w:rPr>
      </w:pPr>
    </w:p>
    <w:p>
      <w:pPr>
        <w:ind w:left="5641"/>
        <w:spacing w:after="0"/>
        <w:tabs>
          <w:tab w:leader="none" w:pos="6160" w:val="left"/>
        </w:tabs>
        <w:rPr>
          <w:sz w:val="20"/>
          <w:szCs w:val="20"/>
          <w:color w:val="auto"/>
        </w:rPr>
      </w:pPr>
      <w:r>
        <w:rPr>
          <w:rFonts w:ascii="Times New Roman" w:cs="Times New Roman" w:eastAsia="Times New Roman" w:hAnsi="Times New Roman"/>
          <w:sz w:val="17"/>
          <w:szCs w:val="17"/>
          <w:color w:val="auto"/>
        </w:rPr>
        <w:t>Title:</w:t>
        <w:tab/>
        <w:t>Chief Financial Officer and President</w:t>
      </w:r>
    </w:p>
    <w:p>
      <w:pPr>
        <w:spacing w:after="0" w:line="3" w:lineRule="exact"/>
        <w:rPr>
          <w:sz w:val="20"/>
          <w:szCs w:val="20"/>
          <w:color w:val="auto"/>
        </w:rPr>
      </w:pPr>
    </w:p>
    <w:p>
      <w:pPr>
        <w:ind w:left="6181"/>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14375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0" w:num="1">
        <w:col w:w="11241"/>
      </w:cols>
      <w:pgMar w:left="319" w:top="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upperLetter"/>
      <w:start w:val="68"/>
    </w:lvl>
  </w:abstractNum>
  <w:abstractNum w:abstractNumId="3">
    <w:nsid w:val="3006C83E"/>
    <w:multiLevelType w:val="hybridMultilevel"/>
    <w:lvl w:ilvl="0">
      <w:lvlJc w:val="left"/>
      <w:lvlText w:val="(%1)"/>
      <w:numFmt w:val="upperLetter"/>
      <w:start w:val="68"/>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upperLetter"/>
      <w:start w:val="2"/>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3"/>
    </w:lvl>
  </w:abstractNum>
  <w:abstractNum w:abstractNumId="26">
    <w:nsid w:val="57E4CCAF"/>
    <w:multiLevelType w:val="hybridMultilevel"/>
    <w:lvl w:ilvl="0">
      <w:lvlJc w:val="left"/>
      <w:lvlText w:val="(%1)"/>
      <w:numFmt w:val="decimal"/>
      <w:start w:val="13"/>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04"/>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2"/>
    </w:lvl>
  </w:abstractNum>
  <w:abstractNum w:abstractNumId="36">
    <w:nsid w:val="749ABB43"/>
    <w:multiLevelType w:val="hybridMultilevel"/>
    <w:lvl w:ilvl="0">
      <w:lvlJc w:val="left"/>
      <w:lvlText w:val="%1."/>
      <w:numFmt w:val="decimal"/>
      <w:start w:val="3"/>
    </w:lvl>
  </w:abstractNum>
  <w:abstractNum w:abstractNumId="37">
    <w:nsid w:val="3DC240FB"/>
    <w:multiLevelType w:val="hybridMultilevel"/>
    <w:lvl w:ilvl="0">
      <w:lvlJc w:val="left"/>
      <w:lvlText w:val="%1."/>
      <w:numFmt w:val="decimal"/>
      <w:start w:val="5"/>
    </w:lvl>
  </w:abstractNum>
  <w:abstractNum w:abstractNumId="38">
    <w:nsid w:val="1BA026FA"/>
    <w:multiLevelType w:val="hybridMultilevel"/>
    <w:lvl w:ilvl="0">
      <w:lvlJc w:val="left"/>
      <w:lvlText w:val="%1."/>
      <w:numFmt w:val="decimal"/>
      <w:start w:val="6"/>
    </w:lvl>
  </w:abstractNum>
  <w:abstractNum w:abstractNumId="39">
    <w:nsid w:val="79A1DEAA"/>
    <w:multiLevelType w:val="hybridMultilevel"/>
    <w:lvl w:ilvl="0">
      <w:lvlJc w:val="left"/>
      <w:lvlText w:val="%1."/>
      <w:numFmt w:val="decimal"/>
      <w:start w:val="7"/>
    </w:lvl>
  </w:abstractNum>
  <w:abstractNum w:abstractNumId="40">
    <w:nsid w:val="75C6C33A"/>
    <w:multiLevelType w:val="hybridMultilevel"/>
    <w:lvl w:ilvl="0">
      <w:lvlJc w:val="left"/>
      <w:lvlText w:val="%1."/>
      <w:numFmt w:val="decimal"/>
      <w:start w:val="9"/>
    </w:lvl>
  </w:abstractNum>
  <w:abstractNum w:abstractNumId="41">
    <w:nsid w:val="12E685FB"/>
    <w:multiLevelType w:val="hybridMultilevel"/>
    <w:lvl w:ilvl="0">
      <w:lvlJc w:val="left"/>
      <w:lvlText w:val="%1."/>
      <w:numFmt w:val="decimal"/>
      <w:start w:val="10"/>
    </w:lvl>
  </w:abstractNum>
  <w:abstractNum w:abstractNumId="42">
    <w:nsid w:val="70C6A529"/>
    <w:multiLevelType w:val="hybridMultilevel"/>
    <w:lvl w:ilvl="0">
      <w:lvlJc w:val="left"/>
      <w:lvlText w:val="%1."/>
      <w:numFmt w:val="decimal"/>
      <w:start w:val="11"/>
    </w:lvl>
  </w:abstractNum>
  <w:abstractNum w:abstractNumId="43">
    <w:nsid w:val="520EEDD1"/>
    <w:multiLevelType w:val="hybridMultilevel"/>
    <w:lvl w:ilvl="0">
      <w:lvlJc w:val="left"/>
      <w:lvlText w:val="%1."/>
      <w:numFmt w:val="decimal"/>
      <w:start w:val="12"/>
    </w:lvl>
  </w:abstractNum>
  <w:abstractNum w:abstractNumId="44">
    <w:nsid w:val="374A3FE6"/>
    <w:multiLevelType w:val="hybridMultilevel"/>
    <w:lvl w:ilvl="0">
      <w:lvlJc w:val="left"/>
      <w:lvlText w:val="%1."/>
      <w:numFmt w:val="decimal"/>
      <w:start w:val="13"/>
    </w:lvl>
  </w:abstractNum>
  <w:abstractNum w:abstractNumId="45">
    <w:nsid w:val="4F4EF005"/>
    <w:multiLevelType w:val="hybridMultilevel"/>
    <w:lvl w:ilvl="0">
      <w:lvlJc w:val="left"/>
      <w:lvlText w:val="%1."/>
      <w:numFmt w:val="decimal"/>
      <w:start w:val="15"/>
    </w:lvl>
  </w:abstractNum>
  <w:abstractNum w:abstractNumId="46">
    <w:nsid w:val="23F9C13C"/>
    <w:multiLevelType w:val="hybridMultilevel"/>
    <w:lvl w:ilvl="0">
      <w:lvlJc w:val="left"/>
      <w:lvlText w:val="%1."/>
      <w:numFmt w:val="decimal"/>
      <w:start w:val="16"/>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lowerLetter"/>
      <w:start w:val="1"/>
    </w:lvl>
    <w:lvl w:ilvl="1">
      <w:lvlJc w:val="left"/>
      <w:lvlText w:val="(%2)"/>
      <w:numFmt w:val="lowerRoman"/>
      <w:start w:val="1"/>
    </w:lvl>
  </w:abstractNum>
  <w:abstractNum w:abstractNumId="49">
    <w:nsid w:val="39386575"/>
    <w:multiLevelType w:val="hybridMultilevel"/>
    <w:lvl w:ilvl="0">
      <w:lvlJc w:val="left"/>
      <w:lvlText w:val="(%1)"/>
      <w:numFmt w:val="lowerLetter"/>
      <w:start w:val="3"/>
    </w:lvl>
  </w:abstractNum>
  <w:abstractNum w:abstractNumId="50">
    <w:nsid w:val="1CF10FD8"/>
    <w:multiLevelType w:val="hybridMultilevel"/>
    <w:lvl w:ilvl="0">
      <w:lvlJc w:val="left"/>
      <w:lvlText w:val="%1."/>
      <w:numFmt w:val="decimal"/>
      <w:start w:val="4"/>
    </w:lvl>
    <w:lvl w:ilvl="1">
      <w:lvlJc w:val="left"/>
      <w:lvlText w:val="(%2)"/>
      <w:numFmt w:val="lowerLetter"/>
      <w:start w:val="1"/>
    </w:lvl>
  </w:abstractNum>
  <w:abstractNum w:abstractNumId="51">
    <w:nsid w:val="180115BE"/>
    <w:multiLevelType w:val="hybridMultilevel"/>
    <w:lvl w:ilvl="0">
      <w:lvlJc w:val="left"/>
      <w:lvlText w:val="%1."/>
      <w:numFmt w:val="decimal"/>
      <w:start w:val="6"/>
    </w:lvl>
  </w:abstractNum>
  <w:abstractNum w:abstractNumId="52">
    <w:nsid w:val="235BA861"/>
    <w:multiLevelType w:val="hybridMultilevel"/>
    <w:lvl w:ilvl="0">
      <w:lvlJc w:val="left"/>
      <w:lvlText w:val="%1."/>
      <w:numFmt w:val="decimal"/>
      <w:start w:val="8"/>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2"/>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63" Type="http://schemas.openxmlformats.org/officeDocument/2006/relationships/hyperlink" Target="https://www.sec.gov/Archives/edgar/data/1133416/000119312512252748/d359382dex32.htm" TargetMode="External"/><Relationship Id="rId64" Type="http://schemas.openxmlformats.org/officeDocument/2006/relationships/hyperlink" Target="https://www.sec.gov/Archives/edgar/data/1133416/000119312516721558/d269553dex53.htm" TargetMode="External"/><Relationship Id="rId65" Type="http://schemas.openxmlformats.org/officeDocument/2006/relationships/hyperlink" Target="https://www.sec.gov/Archives/edgar/data/1133416/000119312507214815/dex32.htm" TargetMode="External"/><Relationship Id="rId66" Type="http://schemas.openxmlformats.org/officeDocument/2006/relationships/hyperlink" Target="https://www.sec.gov/Archives/edgar/data/1133416/000119312517176606/d590602dex31.htm" TargetMode="External"/><Relationship Id="rId67" Type="http://schemas.openxmlformats.org/officeDocument/2006/relationships/hyperlink" Target="https://www.sec.gov/Archives/edgar/data/1133416/000119312511002455/dex31.htm" TargetMode="External"/><Relationship Id="rId68" Type="http://schemas.openxmlformats.org/officeDocument/2006/relationships/hyperlink" Target="https://www.sec.gov/Archives/edgar/data/1133416/000119312512129902/d322145dex31.htm" TargetMode="External"/><Relationship Id="rId69" Type="http://schemas.openxmlformats.org/officeDocument/2006/relationships/hyperlink" Target="https://www.sec.gov/Archives/edgar/data/1133416/000114036123014658/brhc10049486_ex3-7.htm" TargetMode="External"/><Relationship Id="rId70" Type="http://schemas.openxmlformats.org/officeDocument/2006/relationships/hyperlink" Target="https://www.sec.gov/Archives/edgar/data/1133416/000119312516806268/d314862dex41.htm" TargetMode="External"/><Relationship Id="rId71" Type="http://schemas.openxmlformats.org/officeDocument/2006/relationships/hyperlink" Target="https://www.sec.gov/Archives/edgar/data/1133416/000119312517373610/d466346dex41.htm" TargetMode="External"/><Relationship Id="rId72" Type="http://schemas.openxmlformats.org/officeDocument/2006/relationships/hyperlink" Target="https://www.sec.gov/Archives/edgar/data/1133416/000119312519001150/d685114dex41.htm" TargetMode="External"/><Relationship Id="rId73" Type="http://schemas.openxmlformats.org/officeDocument/2006/relationships/hyperlink" Target="https://www.sec.gov/Archives/edgar/data/1133416/000119312519009410/d684051dex41.htm" TargetMode="External"/><Relationship Id="rId74" Type="http://schemas.openxmlformats.org/officeDocument/2006/relationships/hyperlink" Target="https://www.sec.gov/Archives/edgar/data/1133416/000119312519009410/d684051dex42.htm" TargetMode="External"/><Relationship Id="rId75" Type="http://schemas.openxmlformats.org/officeDocument/2006/relationships/hyperlink" Target="https://www.sec.gov/Archives/edgar/data/1133416/000119312519009410/d684051dex43.htm" TargetMode="External"/><Relationship Id="rId76" Type="http://schemas.openxmlformats.org/officeDocument/2006/relationships/hyperlink" Target="https://www.sec.gov/Archives/edgar/data/1133416/000119312519064707/d626180dex417.htm" TargetMode="External"/><Relationship Id="rId77" Type="http://schemas.openxmlformats.org/officeDocument/2006/relationships/hyperlink" Target="https://www.sec.gov/Archives/edgar/data/1133416/000119312519064707/d626180dex418.htm" TargetMode="External"/><Relationship Id="rId78" Type="http://schemas.openxmlformats.org/officeDocument/2006/relationships/hyperlink" Target="https://www.sec.gov/Archives/edgar/data/1133416/000114036122026910/brhc10039901_ex4-1.htm" TargetMode="External"/><Relationship Id="rId79" Type="http://schemas.openxmlformats.org/officeDocument/2006/relationships/hyperlink" Target="https://www.sec.gov/Archives/edgar/data/1133416/000119312521101402/d30125dex420.htm" TargetMode="External"/><Relationship Id="rId80" Type="http://schemas.openxmlformats.org/officeDocument/2006/relationships/hyperlink" Target="https://www.sec.gov/Archives/edgar/data/1133416/000114036124016452/ef20015363_ex4-11.htm" TargetMode="External"/><Relationship Id="rId81" Type="http://schemas.openxmlformats.org/officeDocument/2006/relationships/hyperlink" Target="https://www.sec.gov/Archives/edgar/data/1133416/000114036124016452/ef20015363_ex4-12.htm" TargetMode="External"/><Relationship Id="rId82" Type="http://schemas.openxmlformats.org/officeDocument/2006/relationships/hyperlink" Target="https://www.sec.gov/Archives/edgar/data/1133416/000119312519268920/d814474ddef14a.htm#toc814474_22" TargetMode="External"/><Relationship Id="rId83" Type="http://schemas.openxmlformats.org/officeDocument/2006/relationships/hyperlink" Target="https://www.sec.gov/Archives/edgar/data/1133416/000114036124016452/ef20015363_ex10-2.htm" TargetMode="External"/><Relationship Id="rId84" Type="http://schemas.openxmlformats.org/officeDocument/2006/relationships/hyperlink" Target="https://www.sec.gov/Archives/edgar/data/1133416/000114036124016452/ef20015363_ex10-3.htm" TargetMode="External"/><Relationship Id="rId85" Type="http://schemas.openxmlformats.org/officeDocument/2006/relationships/hyperlink" Target="https://www.sec.gov/Archives/edgar/data/1133416/000119312513334603/d551206dex103.htm" TargetMode="External"/><Relationship Id="rId86" Type="http://schemas.openxmlformats.org/officeDocument/2006/relationships/hyperlink" Target="https://www.sec.gov/Archives/edgar/data/1133416/000119312517256668/d595775dex101.htm" TargetMode="External"/><Relationship Id="rId87" Type="http://schemas.openxmlformats.org/officeDocument/2006/relationships/hyperlink" Target="https://www.sec.gov/Archives/edgar/data/1133416/000114036124035212/ef20033332_ex10-1.htm" TargetMode="External"/><Relationship Id="rId88" Type="http://schemas.openxmlformats.org/officeDocument/2006/relationships/hyperlink" Target="https://www.sec.gov/Archives/edgar/data/1133416/000119312520075484/d883597dex101.htm" TargetMode="External"/><Relationship Id="rId89" Type="http://schemas.openxmlformats.org/officeDocument/2006/relationships/hyperlink" Target="https://www.sec.gov/Archives/edgar/data/1133416/000119312520075484/d883597dex102.htm" TargetMode="External"/><Relationship Id="rId90" Type="http://schemas.openxmlformats.org/officeDocument/2006/relationships/hyperlink" Target="https://www.sec.gov/Archives/edgar/data/1133416/000119312520181006/d944255dex101.htm" TargetMode="External"/><Relationship Id="rId91" Type="http://schemas.openxmlformats.org/officeDocument/2006/relationships/hyperlink" Target="https://www.sec.gov/Archives/edgar/data/1133416/000119312521120391/d135127dex101.htm" TargetMode="External"/><Relationship Id="rId92" Type="http://schemas.openxmlformats.org/officeDocument/2006/relationships/hyperlink" Target="https://www.sec.gov/Archives/edgar/data/1133416/000119312521277824/d213954dex101.htm" TargetMode="External"/><Relationship Id="rId93" Type="http://schemas.openxmlformats.org/officeDocument/2006/relationships/hyperlink" Target="https://www.sec.gov/Archives/edgar/data/1133416/000119312521277824/d213954dex102.htm" TargetMode="External"/><Relationship Id="rId94" Type="http://schemas.openxmlformats.org/officeDocument/2006/relationships/hyperlink" Target="https://www.sec.gov/Archives/edgar/data/1133416/000114036121042519/brhc10032081_ex10-1.htm" TargetMode="External"/><Relationship Id="rId95" Type="http://schemas.openxmlformats.org/officeDocument/2006/relationships/hyperlink" Target="https://www.sec.gov/Archives/edgar/data/1133416/000114036122026910/brhc10039901_ex10-1.htm" TargetMode="External"/><Relationship Id="rId96" Type="http://schemas.openxmlformats.org/officeDocument/2006/relationships/hyperlink" Target="https://www.sec.gov/Archives/edgar/data/1133416/000114036122026910/brhc10039901_ex10-2.htm" TargetMode="External"/><Relationship Id="rId97" Type="http://schemas.openxmlformats.org/officeDocument/2006/relationships/hyperlink" Target="https://www.sec.gov/Archives/edgar/data/1133416/000114036122026910/brhc10039901_ex10-3.htm" TargetMode="External"/><Relationship Id="rId98" Type="http://schemas.openxmlformats.org/officeDocument/2006/relationships/hyperlink" Target="https://www.sec.gov/Archives/edgar/data/1133416/000114036122026910/brhc10039901_ex10-4.htm" TargetMode="External"/><Relationship Id="rId99" Type="http://schemas.openxmlformats.org/officeDocument/2006/relationships/hyperlink" Target="https://www.sec.gov/Archives/edgar/data/1133416/000114036122026910/brhc10039901_ex10-5.htm" TargetMode="External"/><Relationship Id="rId100" Type="http://schemas.openxmlformats.org/officeDocument/2006/relationships/hyperlink" Target="https://www.sec.gov/Archives/edgar/data/1133416/000114036124016452/ef20015363_ex10-19.htm" TargetMode="External"/><Relationship Id="rId101" Type="http://schemas.openxmlformats.org/officeDocument/2006/relationships/hyperlink" Target="https://www.sec.gov/Archives/edgar/data/1133416/000114036124016452/ef20015363_ex10-20.htm" TargetMode="External"/><Relationship Id="rId102" Type="http://schemas.openxmlformats.org/officeDocument/2006/relationships/hyperlink" Target="https://www.sec.gov/ix?doc=/Archives/edgar/data/0001133416/000114036124016452/ef20015363_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2025-03-31T06:56:33Z</dcterms:created>
  <dcterms:modified xsi:type="dcterms:W3CDTF">2025-03-31T06:56:33Z</dcterms:modified>
</cp:coreProperties>
</file>