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686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864350"/>
                    </a:xfrm>
                    <a:prstGeom prst="rect">
                      <a:avLst/>
                    </a:prstGeom>
                    <a:noFill/>
                  </pic:spPr>
                </pic:pic>
              </a:graphicData>
            </a:graphic>
          </wp:anchor>
        </w:drawing>
      </w:r>
    </w:p>
    <w:p>
      <w:pPr>
        <w:spacing w:after="0" w:line="1227" w:lineRule="exact"/>
        <w:rPr>
          <w:sz w:val="24"/>
          <w:szCs w:val="24"/>
          <w:color w:val="auto"/>
        </w:rPr>
      </w:pPr>
    </w:p>
    <w:p>
      <w:pPr>
        <w:sectPr>
          <w:pgSz w:w="11900" w:h="16855" w:orient="portrait"/>
          <w:cols w:equalWidth="0" w:num="2">
            <w:col w:w="2320" w:space="280"/>
            <w:col w:w="848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Jamil Khurram</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4960 PEACHTREE INDUSTRIAL BLVD</w:t>
            </w:r>
          </w:p>
        </w:tc>
      </w:tr>
      <w:tr>
        <w:trPr>
          <w:trHeight w:val="256"/>
        </w:trPr>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240</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NORCROSS</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30071</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GALECTIN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GALT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80" w:type="dxa"/>
            <w:vAlign w:val="bottom"/>
            <w:gridSpan w:val="2"/>
            <w:vMerge w:val="continue"/>
          </w:tcPr>
          <w:p>
            <w:pPr>
              <w:spacing w:after="0"/>
              <w:rPr>
                <w:sz w:val="11"/>
                <w:szCs w:val="11"/>
                <w:color w:val="auto"/>
              </w:rPr>
            </w:pPr>
          </w:p>
        </w:tc>
        <w:tc>
          <w:tcPr>
            <w:tcW w:w="2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217"/>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06/26/2026</w:t>
            </w: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55"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629"/>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06/26/2026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130"/>
              <w:spacing w:after="0"/>
              <w:rPr>
                <w:sz w:val="20"/>
                <w:szCs w:val="20"/>
                <w:color w:val="auto"/>
              </w:rPr>
            </w:pPr>
            <w:r>
              <w:rPr>
                <w:rFonts w:ascii="Times New Roman" w:cs="Times New Roman" w:eastAsia="Times New Roman" w:hAnsi="Times New Roman"/>
                <w:sz w:val="17"/>
                <w:szCs w:val="17"/>
                <w:color w:val="0000FF"/>
                <w:w w:val="93"/>
              </w:rPr>
              <w:t>2,037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2.2</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2,037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06/26/2026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30"/>
              <w:spacing w:after="0"/>
              <w:rPr>
                <w:sz w:val="20"/>
                <w:szCs w:val="20"/>
                <w:color w:val="auto"/>
              </w:rPr>
            </w:pPr>
            <w:r>
              <w:rPr>
                <w:rFonts w:ascii="Times New Roman" w:cs="Times New Roman" w:eastAsia="Times New Roman" w:hAnsi="Times New Roman"/>
                <w:sz w:val="17"/>
                <w:szCs w:val="17"/>
                <w:color w:val="0000FF"/>
                <w:w w:val="93"/>
              </w:rPr>
              <w:t>2,037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91"/>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5</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96"/>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06/26/2026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130"/>
              <w:spacing w:after="0"/>
              <w:rPr>
                <w:sz w:val="20"/>
                <w:szCs w:val="20"/>
                <w:color w:val="auto"/>
              </w:rPr>
            </w:pPr>
            <w:r>
              <w:rPr>
                <w:rFonts w:ascii="Times New Roman" w:cs="Times New Roman" w:eastAsia="Times New Roman" w:hAnsi="Times New Roman"/>
                <w:sz w:val="17"/>
                <w:szCs w:val="17"/>
                <w:color w:val="0000FF"/>
                <w:w w:val="93"/>
              </w:rPr>
              <w:t>2,533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2,533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06/26/2026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30"/>
              <w:spacing w:after="0"/>
              <w:rPr>
                <w:sz w:val="20"/>
                <w:szCs w:val="20"/>
                <w:color w:val="auto"/>
              </w:rPr>
            </w:pPr>
            <w:r>
              <w:rPr>
                <w:rFonts w:ascii="Times New Roman" w:cs="Times New Roman" w:eastAsia="Times New Roman" w:hAnsi="Times New Roman"/>
                <w:sz w:val="17"/>
                <w:szCs w:val="17"/>
                <w:color w:val="0000FF"/>
                <w:w w:val="93"/>
              </w:rPr>
              <w:t>2,533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91"/>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5</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96"/>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06/29/2026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130"/>
              <w:spacing w:after="0"/>
              <w:rPr>
                <w:sz w:val="20"/>
                <w:szCs w:val="20"/>
                <w:color w:val="auto"/>
              </w:rPr>
            </w:pPr>
            <w:r>
              <w:rPr>
                <w:rFonts w:ascii="Times New Roman" w:cs="Times New Roman" w:eastAsia="Times New Roman" w:hAnsi="Times New Roman"/>
                <w:sz w:val="17"/>
                <w:szCs w:val="17"/>
                <w:color w:val="0000FF"/>
                <w:w w:val="94"/>
              </w:rPr>
              <w:t>47,467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47,467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06/29/2026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30"/>
              <w:spacing w:after="0"/>
              <w:rPr>
                <w:sz w:val="20"/>
                <w:szCs w:val="20"/>
                <w:color w:val="auto"/>
              </w:rPr>
            </w:pPr>
            <w:r>
              <w:rPr>
                <w:rFonts w:ascii="Times New Roman" w:cs="Times New Roman" w:eastAsia="Times New Roman" w:hAnsi="Times New Roman"/>
                <w:sz w:val="17"/>
                <w:szCs w:val="17"/>
                <w:color w:val="0000FF"/>
                <w:w w:val="94"/>
              </w:rPr>
              <w:t>47,467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5.04</w:t>
            </w:r>
            <w:r>
              <w:rPr>
                <w:rFonts w:ascii="Times New Roman" w:cs="Times New Roman" w:eastAsia="Times New Roman" w:hAnsi="Times New Roman"/>
                <w:sz w:val="21"/>
                <w:szCs w:val="21"/>
                <w:color w:val="008000"/>
                <w:w w:val="93"/>
                <w:vertAlign w:val="superscript"/>
              </w:rPr>
              <w:t>(5)</w:t>
            </w: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96"/>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5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5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4"/>
              </w:rPr>
              <w:t>Derivative</w:t>
            </w:r>
          </w:p>
        </w:tc>
        <w:tc>
          <w:tcPr>
            <w:tcW w:w="6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06/26/2026</w:t>
            </w:r>
          </w:p>
        </w:tc>
        <w:tc>
          <w:tcPr>
            <w:tcW w:w="1120" w:type="dxa"/>
            <w:vAlign w:val="bottom"/>
          </w:tcPr>
          <w:p>
            <w:pPr>
              <w:spacing w:after="0"/>
              <w:rPr>
                <w:sz w:val="17"/>
                <w:szCs w:val="17"/>
                <w:color w:val="auto"/>
              </w:rPr>
            </w:pPr>
          </w:p>
        </w:tc>
        <w:tc>
          <w:tcPr>
            <w:tcW w:w="720" w:type="dxa"/>
            <w:vAlign w:val="bottom"/>
          </w:tcPr>
          <w:p>
            <w:pPr>
              <w:ind w:left="80"/>
              <w:spacing w:after="0" w:line="205"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jc w:val="center"/>
              <w:ind w:left="281"/>
              <w:spacing w:after="0"/>
              <w:rPr>
                <w:sz w:val="20"/>
                <w:szCs w:val="20"/>
                <w:color w:val="auto"/>
              </w:rPr>
            </w:pPr>
            <w:r>
              <w:rPr>
                <w:rFonts w:ascii="Times New Roman" w:cs="Times New Roman" w:eastAsia="Times New Roman" w:hAnsi="Times New Roman"/>
                <w:sz w:val="13"/>
                <w:szCs w:val="13"/>
                <w:color w:val="0000FF"/>
                <w:w w:val="95"/>
              </w:rPr>
              <w:t>2,037</w:t>
            </w:r>
          </w:p>
        </w:tc>
        <w:tc>
          <w:tcPr>
            <w:tcW w:w="88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3"/>
                <w:szCs w:val="13"/>
                <w:color w:val="0000FF"/>
              </w:rPr>
              <w:t>03/11/2025</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03/20/2034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rPr>
                <w:sz w:val="20"/>
                <w:szCs w:val="20"/>
                <w:color w:val="auto"/>
              </w:rPr>
            </w:pPr>
            <w:r>
              <w:rPr>
                <w:rFonts w:ascii="Times New Roman" w:cs="Times New Roman" w:eastAsia="Times New Roman" w:hAnsi="Times New Roman"/>
                <w:sz w:val="17"/>
                <w:szCs w:val="17"/>
                <w:color w:val="0000FF"/>
                <w:w w:val="99"/>
              </w:rPr>
              <w:t>2,037</w:t>
            </w:r>
          </w:p>
        </w:tc>
        <w:tc>
          <w:tcPr>
            <w:tcW w:w="6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100,000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2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06/26/2026</w:t>
            </w:r>
          </w:p>
        </w:tc>
        <w:tc>
          <w:tcPr>
            <w:tcW w:w="1120" w:type="dxa"/>
            <w:vAlign w:val="bottom"/>
          </w:tcPr>
          <w:p>
            <w:pPr>
              <w:spacing w:after="0"/>
              <w:rPr>
                <w:sz w:val="17"/>
                <w:szCs w:val="17"/>
                <w:color w:val="auto"/>
              </w:rPr>
            </w:pPr>
          </w:p>
        </w:tc>
        <w:tc>
          <w:tcPr>
            <w:tcW w:w="720" w:type="dxa"/>
            <w:vAlign w:val="bottom"/>
          </w:tcPr>
          <w:p>
            <w:pPr>
              <w:ind w:left="80"/>
              <w:spacing w:after="0" w:line="205"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jc w:val="center"/>
              <w:ind w:left="281"/>
              <w:spacing w:after="0"/>
              <w:rPr>
                <w:sz w:val="20"/>
                <w:szCs w:val="20"/>
                <w:color w:val="auto"/>
              </w:rPr>
            </w:pPr>
            <w:r>
              <w:rPr>
                <w:rFonts w:ascii="Times New Roman" w:cs="Times New Roman" w:eastAsia="Times New Roman" w:hAnsi="Times New Roman"/>
                <w:sz w:val="13"/>
                <w:szCs w:val="13"/>
                <w:color w:val="0000FF"/>
                <w:w w:val="95"/>
              </w:rPr>
              <w:t>2,533</w:t>
            </w: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04/30/2025</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08/01/2034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rPr>
                <w:sz w:val="20"/>
                <w:szCs w:val="20"/>
                <w:color w:val="auto"/>
              </w:rPr>
            </w:pPr>
            <w:r>
              <w:rPr>
                <w:rFonts w:ascii="Times New Roman" w:cs="Times New Roman" w:eastAsia="Times New Roman" w:hAnsi="Times New Roman"/>
                <w:sz w:val="17"/>
                <w:szCs w:val="17"/>
                <w:color w:val="0000FF"/>
                <w:w w:val="99"/>
              </w:rPr>
              <w:t>2,533</w:t>
            </w:r>
          </w:p>
        </w:tc>
        <w:tc>
          <w:tcPr>
            <w:tcW w:w="6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8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0000FF"/>
              </w:rPr>
              <w:t>47,467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2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06/29/2026</w:t>
            </w:r>
          </w:p>
        </w:tc>
        <w:tc>
          <w:tcPr>
            <w:tcW w:w="1120" w:type="dxa"/>
            <w:vAlign w:val="bottom"/>
          </w:tcPr>
          <w:p>
            <w:pPr>
              <w:spacing w:after="0"/>
              <w:rPr>
                <w:sz w:val="17"/>
                <w:szCs w:val="17"/>
                <w:color w:val="auto"/>
              </w:rPr>
            </w:pPr>
          </w:p>
        </w:tc>
        <w:tc>
          <w:tcPr>
            <w:tcW w:w="720" w:type="dxa"/>
            <w:vAlign w:val="bottom"/>
          </w:tcPr>
          <w:p>
            <w:pPr>
              <w:ind w:left="80"/>
              <w:spacing w:after="0" w:line="205"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jc w:val="center"/>
              <w:ind w:left="281"/>
              <w:spacing w:after="0"/>
              <w:rPr>
                <w:sz w:val="20"/>
                <w:szCs w:val="20"/>
                <w:color w:val="auto"/>
              </w:rPr>
            </w:pPr>
            <w:r>
              <w:rPr>
                <w:rFonts w:ascii="Times New Roman" w:cs="Times New Roman" w:eastAsia="Times New Roman" w:hAnsi="Times New Roman"/>
                <w:sz w:val="13"/>
                <w:szCs w:val="13"/>
                <w:color w:val="0000FF"/>
              </w:rPr>
              <w:t>47,467</w:t>
            </w: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07/31/2025</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08/01/2034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rPr>
                <w:sz w:val="20"/>
                <w:szCs w:val="20"/>
                <w:color w:val="auto"/>
              </w:rPr>
            </w:pPr>
            <w:r>
              <w:rPr>
                <w:rFonts w:ascii="Times New Roman" w:cs="Times New Roman" w:eastAsia="Times New Roman" w:hAnsi="Times New Roman"/>
                <w:sz w:val="17"/>
                <w:szCs w:val="17"/>
                <w:color w:val="0000FF"/>
                <w:w w:val="98"/>
              </w:rPr>
              <w:t>47,467</w:t>
            </w:r>
          </w:p>
        </w:tc>
        <w:tc>
          <w:tcPr>
            <w:tcW w:w="6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8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made pursuant to a Rule 10b5-1 plan adopted by the reporting person on February 2, 2026, as disclosed in the Issuers Quarterly Report on Form 10-Q, filed with the SEC on May 15, 2026</w:t>
      </w:r>
    </w:p>
    <w:p>
      <w:pPr>
        <w:spacing w:after="0" w:line="18" w:lineRule="exact"/>
        <w:rPr>
          <w:rFonts w:ascii="Times New Roman" w:cs="Times New Roman" w:eastAsia="Times New Roman" w:hAnsi="Times New Roman"/>
          <w:sz w:val="13"/>
          <w:szCs w:val="13"/>
          <w:color w:val="008000"/>
        </w:rPr>
      </w:pPr>
    </w:p>
    <w:p>
      <w:pPr>
        <w:ind w:left="40" w:right="22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at prices ranging from $5.00 to $5.01. This amount represents the weighted average sale price of such transactions. The reporting person undertakes to provide full information regarding the number of shares sold at each separate price upon request by the Securities and Exchange Commission, the Issuer, or a security holder of the Issuer.</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at a rate of one-third or 50,000 options on each of March 11, 2025, March 11, 2026 and March 11,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at a rate of twenty five percent or 25,000 options on each of October 31, 2024, January 31, 2025, April 30, 2025 and July 31, 2025.</w:t>
      </w:r>
    </w:p>
    <w:p>
      <w:pPr>
        <w:spacing w:after="0" w:line="42" w:lineRule="exact"/>
        <w:rPr>
          <w:rFonts w:ascii="Times New Roman" w:cs="Times New Roman" w:eastAsia="Times New Roman" w:hAnsi="Times New Roman"/>
          <w:sz w:val="13"/>
          <w:szCs w:val="13"/>
          <w:color w:val="008000"/>
        </w:rPr>
      </w:pPr>
    </w:p>
    <w:p>
      <w:pPr>
        <w:ind w:left="40" w:right="22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at prices ranging from $5.00 to $5.13. This amount represents the weighted average sale price of such transactions. The reporting person undertakes to provide full information regarding the number of shares sold at each separate price upon request by the Securities and Exchange Commission, the Issuer, or a security holder of the Issuer.</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Jack W. Callicutt, by power of</w:t>
            </w:r>
          </w:p>
        </w:tc>
        <w:tc>
          <w:tcPr>
            <w:tcW w:w="8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5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attorney</w:t>
            </w:r>
          </w:p>
        </w:tc>
        <w:tc>
          <w:tcPr>
            <w:tcW w:w="15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2345" TargetMode="External"/><Relationship Id="rId14" Type="http://schemas.openxmlformats.org/officeDocument/2006/relationships/hyperlink" Target="http://www.sec.gov/cgi-bin/browse-edgar?action=getcompany&amp;CIK=0001133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2026-06-30T18:24:11Z</dcterms:created>
  <dcterms:modified xsi:type="dcterms:W3CDTF">2026-06-30T18:24:11Z</dcterms:modified>
</cp:coreProperties>
</file>