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201295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661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224155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488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04-3562325</w:t>
            </w:r>
          </w:p>
        </w:tc>
      </w:tr>
      <w:tr>
        <w:trPr>
          <w:trHeight w:val="243"/>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w:t>
            </w:r>
          </w:p>
        </w:tc>
        <w:tc>
          <w:tcPr>
            <w:tcW w:w="488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91"/>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4960 Peachtree Industrial Blvd., Suite 240, Norcross, GA</w:t>
            </w:r>
          </w:p>
        </w:tc>
        <w:tc>
          <w:tcPr>
            <w:tcW w:w="488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30071</w:t>
            </w:r>
          </w:p>
        </w:tc>
      </w:tr>
      <w:tr>
        <w:trPr>
          <w:trHeight w:val="23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88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59"/>
        </w:trPr>
        <w:tc>
          <w:tcPr>
            <w:tcW w:w="4400" w:type="dxa"/>
            <w:vAlign w:val="bottom"/>
          </w:tcPr>
          <w:p>
            <w:pPr>
              <w:spacing w:after="0"/>
              <w:rPr>
                <w:sz w:val="24"/>
                <w:szCs w:val="24"/>
                <w:color w:val="auto"/>
              </w:rPr>
            </w:pPr>
          </w:p>
        </w:tc>
        <w:tc>
          <w:tcPr>
            <w:tcW w:w="4880" w:type="dxa"/>
            <w:vAlign w:val="bottom"/>
          </w:tcPr>
          <w:p>
            <w:pPr>
              <w:jc w:val="right"/>
              <w:ind w:right="3590"/>
              <w:spacing w:after="0"/>
              <w:rPr>
                <w:sz w:val="20"/>
                <w:szCs w:val="20"/>
                <w:color w:val="auto"/>
              </w:rPr>
            </w:pPr>
            <w:r>
              <w:rPr>
                <w:rFonts w:ascii="Times New Roman" w:cs="Times New Roman" w:eastAsia="Times New Roman" w:hAnsi="Times New Roman"/>
                <w:sz w:val="18"/>
                <w:szCs w:val="18"/>
                <w:b w:val="1"/>
                <w:bCs w:val="1"/>
                <w:color w:val="auto"/>
              </w:rPr>
              <w:t>(678) 620 -3186</w:t>
            </w: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194310</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8620" w:type="dxa"/>
            <w:vAlign w:val="bottom"/>
            <w:gridSpan w:val="2"/>
          </w:tcPr>
          <w:p>
            <w:pPr>
              <w:jc w:val="center"/>
              <w:ind w:right="2530"/>
              <w:spacing w:after="0"/>
              <w:rPr>
                <w:sz w:val="20"/>
                <w:szCs w:val="20"/>
                <w:color w:val="auto"/>
              </w:rPr>
            </w:pPr>
            <w:r>
              <w:rPr>
                <w:rFonts w:ascii="Times New Roman" w:cs="Times New Roman" w:eastAsia="Times New Roman" w:hAnsi="Times New Roman"/>
                <w:sz w:val="18"/>
                <w:szCs w:val="18"/>
                <w:b w:val="1"/>
                <w:bCs w:val="1"/>
                <w:color w:val="auto"/>
                <w:w w:val="99"/>
              </w:rPr>
              <w:t>Securities registered or to be registered pursuant to Section 12(b) of the Act.</w:t>
            </w:r>
          </w:p>
        </w:tc>
      </w:tr>
      <w:tr>
        <w:trPr>
          <w:trHeight w:val="459"/>
        </w:trPr>
        <w:tc>
          <w:tcPr>
            <w:tcW w:w="2620" w:type="dxa"/>
            <w:vAlign w:val="bottom"/>
            <w:tcBorders>
              <w:bottom w:val="single" w:sz="8" w:color="auto"/>
            </w:tcBorders>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420" w:type="dxa"/>
            <w:vAlign w:val="bottom"/>
            <w:tcBorders>
              <w:bottom w:val="single" w:sz="8" w:color="auto"/>
            </w:tcBorders>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0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26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442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7"/>
              </w:rPr>
              <w:t>GALT</w:t>
            </w:r>
          </w:p>
        </w:tc>
        <w:tc>
          <w:tcPr>
            <w:tcW w:w="42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391"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 w:hanging="192"/>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94" w:right="339" w:bottom="1440" w:gutter="0" w:footer="0" w:header="0"/>
        </w:sectPr>
      </w:pPr>
    </w:p>
    <w:p>
      <w:pPr>
        <w:spacing w:after="0" w:line="1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40" w:lineRule="exact"/>
        <w:rPr>
          <w:sz w:val="24"/>
          <w:szCs w:val="24"/>
          <w:color w:val="auto"/>
        </w:rPr>
      </w:pPr>
    </w:p>
    <w:p>
      <w:pPr>
        <w:sectPr>
          <w:pgSz w:w="11900" w:h="16838" w:orient="portrait"/>
          <w:cols w:equalWidth="0" w:num="4">
            <w:col w:w="2140" w:space="720"/>
            <w:col w:w="4560" w:space="720"/>
            <w:col w:w="2080" w:space="720"/>
            <w:col w:w="300"/>
          </w:cols>
          <w:pgMar w:left="320" w:top="394" w:right="339" w:bottom="1440"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2140" w:space="720"/>
            <w:col w:w="4560" w:space="720"/>
            <w:col w:w="2080" w:space="720"/>
            <w:col w:w="300"/>
          </w:cols>
          <w:pgMar w:left="320" w:top="394" w:right="339" w:bottom="1440" w:gutter="0" w:footer="0" w:header="0"/>
          <w:type w:val="continuous"/>
        </w:sectPr>
      </w:pPr>
    </w:p>
    <w:p>
      <w:pPr>
        <w:ind w:left="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394" w:right="339" w:bottom="1440" w:gutter="0" w:footer="0" w:header="0"/>
          <w:type w:val="continuous"/>
        </w:sectPr>
      </w:pP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May 8, 2026 was 65,856,898.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760" w:type="dxa"/>
            <w:vAlign w:val="bottom"/>
            <w:gridSpan w:val="9"/>
          </w:tcPr>
          <w:p>
            <w:pPr>
              <w:jc w:val="center"/>
              <w:ind w:right="2900"/>
              <w:spacing w:after="0"/>
              <w:rPr>
                <w:sz w:val="20"/>
                <w:szCs w:val="20"/>
                <w:color w:val="auto"/>
              </w:rPr>
            </w:pPr>
            <w:r>
              <w:rPr>
                <w:rFonts w:ascii="Times New Roman" w:cs="Times New Roman" w:eastAsia="Times New Roman" w:hAnsi="Times New Roman"/>
                <w:sz w:val="18"/>
                <w:szCs w:val="18"/>
                <w:color w:val="auto"/>
                <w:w w:val="98"/>
              </w:rPr>
              <w:t>PART I — FINANCIAL INFORMATION</w:t>
            </w:r>
          </w:p>
        </w:tc>
        <w:tc>
          <w:tcPr>
            <w:tcW w:w="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4"/>
        </w:trPr>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 (unaudited)</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2026 and December 31, 2025</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2026 and 2025</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 2025</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40" w:type="dxa"/>
            <w:vAlign w:val="bottom"/>
            <w:tcBorders>
              <w:right w:val="single" w:sz="8" w:color="CCEEFF"/>
            </w:tcBorders>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6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Redeemable Convertible Preferred Stock and Stockholders’ Deficit for the three</w:t>
            </w: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7"/>
        </w:trPr>
        <w:tc>
          <w:tcPr>
            <w:tcW w:w="40" w:type="dxa"/>
            <w:vAlign w:val="bottom"/>
            <w:tcBorders>
              <w:right w:val="single" w:sz="8" w:color="CCEEFF"/>
            </w:tcBorders>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9480" w:type="dxa"/>
            <w:vAlign w:val="bottom"/>
            <w:tcBorders>
              <w:top w:val="single" w:sz="8" w:color="0000EE"/>
            </w:tcBorders>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months ended March 31, 2026 and 2025</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20" w:type="dxa"/>
            <w:vAlign w:val="bottom"/>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20" w:type="dxa"/>
            <w:vAlign w:val="bottom"/>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20" w:type="dxa"/>
            <w:vAlign w:val="bottom"/>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760" w:type="dxa"/>
            <w:vAlign w:val="bottom"/>
            <w:gridSpan w:val="9"/>
            <w:shd w:val="clear" w:color="auto" w:fill="CCEEFF"/>
          </w:tcPr>
          <w:p>
            <w:pPr>
              <w:jc w:val="center"/>
              <w:ind w:right="2920"/>
              <w:spacing w:after="0"/>
              <w:rPr>
                <w:sz w:val="20"/>
                <w:szCs w:val="20"/>
                <w:color w:val="auto"/>
              </w:rPr>
            </w:pPr>
            <w:r>
              <w:rPr>
                <w:rFonts w:ascii="Times New Roman" w:cs="Times New Roman" w:eastAsia="Times New Roman" w:hAnsi="Times New Roman"/>
                <w:sz w:val="18"/>
                <w:szCs w:val="18"/>
                <w:color w:val="auto"/>
                <w:w w:val="98"/>
              </w:rPr>
              <w:t>PART II — OTHER INFORMATION</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20" w:type="dxa"/>
            <w:vAlign w:val="bottom"/>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20" w:type="dxa"/>
            <w:vAlign w:val="bottom"/>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20" w:type="dxa"/>
            <w:vAlign w:val="bottom"/>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20" w:type="dxa"/>
            <w:vAlign w:val="bottom"/>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20" w:type="dxa"/>
            <w:vAlign w:val="bottom"/>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20" w:type="dxa"/>
            <w:vAlign w:val="bottom"/>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20" w:type="dxa"/>
            <w:vAlign w:val="bottom"/>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105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shd w:val="clear" w:color="auto" w:fill="CCEEFF"/>
          </w:tcPr>
          <w:p>
            <w:pPr>
              <w:spacing w:after="0"/>
              <w:rPr>
                <w:sz w:val="17"/>
                <w:szCs w:val="17"/>
                <w:color w:val="auto"/>
              </w:rPr>
            </w:pPr>
          </w:p>
        </w:tc>
      </w:tr>
      <w:tr>
        <w:trPr>
          <w:trHeight w:val="517"/>
        </w:trPr>
        <w:tc>
          <w:tcPr>
            <w:tcW w:w="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0" w:type="dxa"/>
            <w:vAlign w:val="bottom"/>
            <w:tcBorders>
              <w:top w:val="single" w:sz="8" w:color="CCEEFF"/>
            </w:tcBorders>
            <w:gridSpan w:val="10"/>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15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58"/>
        </w:trPr>
        <w:tc>
          <w:tcPr>
            <w:tcW w:w="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ectPr>
          <w:pgSz w:w="11900" w:h="16838" w:orient="portrait"/>
          <w:cols w:equalWidth="0" w:num="1">
            <w:col w:w="11260"/>
          </w:cols>
          <w:pgMar w:left="320" w:top="401"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1"/>
                <w:szCs w:val="21"/>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w w:val="98"/>
              </w:rPr>
              <w:t>(in thousands, except 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0" w:type="dxa"/>
            <w:vAlign w:val="bottom"/>
          </w:tcPr>
          <w:p>
            <w:pPr>
              <w:spacing w:after="0"/>
              <w:rPr>
                <w:sz w:val="1"/>
                <w:szCs w:val="1"/>
                <w:color w:val="auto"/>
              </w:rPr>
            </w:pPr>
          </w:p>
        </w:tc>
      </w:tr>
      <w:tr>
        <w:trPr>
          <w:trHeight w:val="432"/>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17,720</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36"/>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5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60"/>
              <w:spacing w:after="0" w:line="181" w:lineRule="exact"/>
              <w:rPr>
                <w:sz w:val="20"/>
                <w:szCs w:val="20"/>
                <w:color w:val="auto"/>
              </w:rPr>
            </w:pPr>
            <w:r>
              <w:rPr>
                <w:rFonts w:ascii="Times New Roman" w:cs="Times New Roman" w:eastAsia="Times New Roman" w:hAnsi="Times New Roman"/>
                <w:sz w:val="18"/>
                <w:szCs w:val="18"/>
                <w:b w:val="1"/>
                <w:bCs w:val="1"/>
                <w:color w:val="auto"/>
                <w:w w:val="99"/>
              </w:rPr>
              <w:t>LIABILITIES, REDEEMABLE CONVERTIBLE PREFERRED STOCK AND STOCKHOLDERS’ EQUITY</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3,245</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4,186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4,722</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Accrued dividends payable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6"/>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Convertible notes payable and accrued interest, net of debt discounts – related party (Note 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32,878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32,702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 (Note 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3,962</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Borrowing and accrued interest under convertible line of credit, net of debt discount – related party (Note 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102,832</w:t>
            </w:r>
          </w:p>
        </w:tc>
        <w:tc>
          <w:tcPr>
            <w:tcW w:w="10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101,033</w:t>
            </w:r>
          </w:p>
        </w:tc>
        <w:tc>
          <w:tcPr>
            <w:tcW w:w="0" w:type="dxa"/>
            <w:vAlign w:val="bottom"/>
          </w:tcPr>
          <w:p>
            <w:pPr>
              <w:spacing w:after="0"/>
              <w:rPr>
                <w:sz w:val="1"/>
                <w:szCs w:val="1"/>
                <w:color w:val="auto"/>
              </w:rPr>
            </w:pPr>
          </w:p>
        </w:tc>
      </w:tr>
      <w:tr>
        <w:trPr>
          <w:trHeight w:val="236"/>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145,996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6% super dividend redeemable convertible preferred stock; 1,000 shares authorized, 176 issued and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at March 31, 2026 and December 31, 2025, redemption value: $7,966,000, liquidation value: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$1,760,000 at March 31, 2026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Undesignated stock, $0.01 par value; 20,000,000 shares authorized at March 31, 2026 and December 31, 2025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20,000,000 shares designated at March 31, 2026 and December 31, 2025, respectively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12% convertible preferred stock; 1,742,500 shares authorized, 1,185,000 and 1,210,000 issued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outstanding at March 31, 2026 and December 31, 2025, respectively, liquidation value $1,210,000 at March 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198"/>
        </w:trPr>
        <w:tc>
          <w:tcPr>
            <w:tcW w:w="8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150,000,000 shares authorized at March 31, 2026 and December 31, 2025,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65,856,898 and 65,201,995 issued and outstanding at March 31, 2026 and December 31, 2025, respectively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305,108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304,073</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(437,613)</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(432,546)</w:t>
            </w:r>
          </w:p>
        </w:tc>
        <w:tc>
          <w:tcPr>
            <w:tcW w:w="0" w:type="dxa"/>
            <w:vAlign w:val="bottom"/>
          </w:tcPr>
          <w:p>
            <w:pPr>
              <w:spacing w:after="0"/>
              <w:rPr>
                <w:sz w:val="1"/>
                <w:szCs w:val="1"/>
                <w:color w:val="auto"/>
              </w:rPr>
            </w:pPr>
          </w:p>
        </w:tc>
      </w:tr>
      <w:tr>
        <w:trPr>
          <w:trHeight w:val="223"/>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(131,960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1"/>
        </w:trPr>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-1722120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tc>
        <w:tc>
          <w:tcPr>
            <w:tcW w:w="260" w:type="dxa"/>
            <w:vAlign w:val="bottom"/>
          </w:tcPr>
          <w:p>
            <w:pPr>
              <w:spacing w:after="0"/>
              <w:rPr>
                <w:sz w:val="20"/>
                <w:szCs w:val="20"/>
                <w:color w:val="auto"/>
              </w:rPr>
            </w:pPr>
          </w:p>
        </w:tc>
        <w:tc>
          <w:tcPr>
            <w:tcW w:w="2620" w:type="dxa"/>
            <w:vAlign w:val="bottom"/>
            <w:gridSpan w:val="5"/>
            <w:vMerge w:val="restart"/>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7"/>
              </w:rPr>
              <w:t>(in thousands, except per share data)</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6,485</w:t>
            </w: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1,846</w:t>
            </w:r>
          </w:p>
        </w:tc>
        <w:tc>
          <w:tcPr>
            <w:tcW w:w="3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36"/>
        </w:trPr>
        <w:tc>
          <w:tcPr>
            <w:tcW w:w="8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operating loss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(4,077)</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983</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(1,988)</w:t>
            </w:r>
          </w:p>
        </w:tc>
        <w:tc>
          <w:tcPr>
            <w:tcW w:w="3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36"/>
        </w:trPr>
        <w:tc>
          <w:tcPr>
            <w:tcW w:w="8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(5,046)</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loss applicable to common stockholders</w:t>
            </w:r>
          </w:p>
        </w:tc>
        <w:tc>
          <w:tcPr>
            <w:tcW w:w="2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(5,067)</w:t>
            </w:r>
          </w:p>
        </w:tc>
        <w:tc>
          <w:tcPr>
            <w:tcW w:w="24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8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65,782</w:t>
            </w:r>
          </w:p>
        </w:tc>
        <w:tc>
          <w:tcPr>
            <w:tcW w:w="3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63,204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tc>
        <w:tc>
          <w:tcPr>
            <w:tcW w:w="240" w:type="dxa"/>
            <w:vAlign w:val="bottom"/>
          </w:tcPr>
          <w:p>
            <w:pPr>
              <w:spacing w:after="0"/>
              <w:rPr>
                <w:sz w:val="20"/>
                <w:szCs w:val="20"/>
                <w:color w:val="auto"/>
              </w:rPr>
            </w:pPr>
          </w:p>
        </w:tc>
        <w:tc>
          <w:tcPr>
            <w:tcW w:w="2320" w:type="dxa"/>
            <w:vAlign w:val="bottom"/>
            <w:gridSpan w:val="5"/>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20"/>
                <w:szCs w:val="20"/>
                <w:color w:val="auto"/>
              </w:rPr>
            </w:pPr>
          </w:p>
        </w:tc>
        <w:tc>
          <w:tcPr>
            <w:tcW w:w="222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(5,046)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(9,631)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right to use lease asset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2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interest on convertible debt - related party</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1,831</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from exercise of stock options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257</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Net cash flows from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w:t>
            </w:r>
          </w:p>
        </w:tc>
        <w:tc>
          <w:tcPr>
            <w:tcW w:w="2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17,720</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15,120</w:t>
            </w:r>
          </w:p>
        </w:tc>
        <w:tc>
          <w:tcPr>
            <w:tcW w:w="0" w:type="dxa"/>
            <w:vAlign w:val="bottom"/>
          </w:tcPr>
          <w:p>
            <w:pPr>
              <w:spacing w:after="0"/>
              <w:rPr>
                <w:sz w:val="1"/>
                <w:szCs w:val="1"/>
                <w:color w:val="auto"/>
              </w:rPr>
            </w:pPr>
          </w:p>
        </w:tc>
      </w:tr>
      <w:tr>
        <w:trPr>
          <w:trHeight w:val="241"/>
        </w:trPr>
        <w:tc>
          <w:tcPr>
            <w:tcW w:w="8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preferred stock dividends in common stock</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4"/>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right to use lease asset</w:t>
            </w:r>
          </w:p>
        </w:tc>
        <w:tc>
          <w:tcPr>
            <w:tcW w:w="2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DEFICIT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25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Series C Super</w:t>
            </w:r>
          </w:p>
        </w:tc>
      </w:tr>
      <w:tr>
        <w:trPr>
          <w:trHeight w:val="410"/>
        </w:trPr>
        <w:tc>
          <w:tcPr>
            <w:tcW w:w="8680" w:type="dxa"/>
            <w:vAlign w:val="bottom"/>
          </w:tcPr>
          <w:p>
            <w:pPr>
              <w:spacing w:after="0"/>
              <w:rPr>
                <w:sz w:val="24"/>
                <w:szCs w:val="24"/>
                <w:color w:val="auto"/>
              </w:rPr>
            </w:pPr>
          </w:p>
        </w:tc>
        <w:tc>
          <w:tcPr>
            <w:tcW w:w="25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Dividend Redeemable</w:t>
            </w:r>
          </w:p>
        </w:tc>
      </w:tr>
      <w:tr>
        <w:trPr>
          <w:trHeight w:val="432"/>
        </w:trPr>
        <w:tc>
          <w:tcPr>
            <w:tcW w:w="8680" w:type="dxa"/>
            <w:vAlign w:val="bottom"/>
          </w:tcPr>
          <w:p>
            <w:pPr>
              <w:spacing w:after="0"/>
              <w:rPr>
                <w:sz w:val="24"/>
                <w:szCs w:val="24"/>
                <w:color w:val="auto"/>
              </w:rPr>
            </w:pPr>
          </w:p>
        </w:tc>
        <w:tc>
          <w:tcPr>
            <w:tcW w:w="25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r>
      <w:tr>
        <w:trPr>
          <w:trHeight w:val="439"/>
        </w:trPr>
        <w:tc>
          <w:tcPr>
            <w:tcW w:w="8680" w:type="dxa"/>
            <w:vAlign w:val="bottom"/>
          </w:tcPr>
          <w:p>
            <w:pPr>
              <w:spacing w:after="0"/>
              <w:rPr>
                <w:sz w:val="24"/>
                <w:szCs w:val="24"/>
                <w:color w:val="auto"/>
              </w:rPr>
            </w:pPr>
          </w:p>
        </w:tc>
        <w:tc>
          <w:tcPr>
            <w:tcW w:w="25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Pr>
          <w:p>
            <w:pPr>
              <w:spacing w:after="0"/>
              <w:rPr>
                <w:sz w:val="21"/>
                <w:szCs w:val="21"/>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6"/>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1,723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276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Series A 12%</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76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2760" w:type="dxa"/>
            <w:vAlign w:val="bottom"/>
            <w:gridSpan w:val="7"/>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2280" w:type="dxa"/>
            <w:vAlign w:val="bottom"/>
            <w:gridSpan w:val="4"/>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1260" w:type="dxa"/>
            <w:vAlign w:val="bottom"/>
            <w:tcBorders>
              <w:top w:val="single" w:sz="8" w:color="auto"/>
            </w:tcBorders>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1"/>
                <w:szCs w:val="21"/>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180"/>
        </w:trPr>
        <w:tc>
          <w:tcPr>
            <w:tcW w:w="194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at December</w:t>
            </w: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1,235,000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500</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63,157,235</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296,217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(401,572)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(104,793)</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12%</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dividend</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12,350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redeemable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dividend</w:t>
            </w: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17,600</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shares forfeited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cover tax</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withholding</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104,400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(9,631)</w:t>
            </w:r>
          </w:p>
        </w:tc>
        <w:tc>
          <w:tcPr>
            <w:tcW w:w="0" w:type="dxa"/>
            <w:vAlign w:val="bottom"/>
          </w:tcPr>
          <w:p>
            <w:pPr>
              <w:spacing w:after="0"/>
              <w:rPr>
                <w:sz w:val="1"/>
                <w:szCs w:val="1"/>
                <w:color w:val="auto"/>
              </w:rPr>
            </w:pPr>
          </w:p>
        </w:tc>
      </w:tr>
      <w:tr>
        <w:trPr>
          <w:trHeight w:val="223"/>
        </w:trPr>
        <w:tc>
          <w:tcPr>
            <w:tcW w:w="19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at March 31,</w:t>
            </w:r>
          </w:p>
        </w:tc>
        <w:tc>
          <w:tcPr>
            <w:tcW w:w="12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1,235,000</w:t>
            </w: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500</w:t>
            </w: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63,291,585</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63</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296,630</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(411,177)</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(113,984)</w:t>
            </w:r>
          </w:p>
        </w:tc>
        <w:tc>
          <w:tcPr>
            <w:tcW w:w="0" w:type="dxa"/>
            <w:vAlign w:val="bottom"/>
          </w:tcPr>
          <w:p>
            <w:pPr>
              <w:spacing w:after="0"/>
              <w:rPr>
                <w:sz w:val="1"/>
                <w:szCs w:val="1"/>
                <w:color w:val="auto"/>
              </w:rPr>
            </w:pPr>
          </w:p>
        </w:tc>
      </w:tr>
      <w:tr>
        <w:trPr>
          <w:trHeight w:val="231"/>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gridSpan w:val="2"/>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1,210,000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490</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65,201,995</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304,073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(432,546)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(127,918)</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12%</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dividend</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11,850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redeemable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dividend</w:t>
            </w: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17,600</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Series 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to common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4,368</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from exercise of</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173,333</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shares forfeited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cover tax</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withholding</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447,752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(5,046)</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at March 31,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940" w:type="dxa"/>
            <w:vAlign w:val="bottom"/>
            <w:vMerge w:val="continue"/>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1,185,000</w:t>
            </w:r>
          </w:p>
        </w:tc>
        <w:tc>
          <w:tcPr>
            <w:tcW w:w="120" w:type="dxa"/>
            <w:vAlign w:val="bottom"/>
            <w:vMerge w:val="restart"/>
          </w:tcPr>
          <w:p>
            <w:pPr>
              <w:spacing w:after="0"/>
              <w:rPr>
                <w:sz w:val="14"/>
                <w:szCs w:val="14"/>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480</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65,856,898</w:t>
            </w:r>
          </w:p>
        </w:tc>
        <w:tc>
          <w:tcPr>
            <w:tcW w:w="120" w:type="dxa"/>
            <w:vAlign w:val="bottom"/>
          </w:tcPr>
          <w:p>
            <w:pPr>
              <w:spacing w:after="0"/>
              <w:rPr>
                <w:sz w:val="14"/>
                <w:szCs w:val="14"/>
                <w:color w:val="auto"/>
              </w:rPr>
            </w:pPr>
          </w:p>
        </w:tc>
        <w:tc>
          <w:tcPr>
            <w:tcW w:w="920" w:type="dxa"/>
            <w:vAlign w:val="bottom"/>
            <w:vMerge w:val="restart"/>
          </w:tcPr>
          <w:p>
            <w:pPr>
              <w:jc w:val="right"/>
              <w:ind w:right="7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65</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305,108</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(437,613)</w:t>
            </w:r>
          </w:p>
        </w:tc>
        <w:tc>
          <w:tcPr>
            <w:tcW w:w="100" w:type="dxa"/>
            <w:vAlign w:val="bottom"/>
          </w:tcPr>
          <w:p>
            <w:pPr>
              <w:spacing w:after="0"/>
              <w:rPr>
                <w:sz w:val="14"/>
                <w:szCs w:val="14"/>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(131,960)</w:t>
            </w:r>
          </w:p>
        </w:tc>
        <w:tc>
          <w:tcPr>
            <w:tcW w:w="0" w:type="dxa"/>
            <w:vAlign w:val="bottom"/>
          </w:tcPr>
          <w:p>
            <w:pPr>
              <w:spacing w:after="0"/>
              <w:rPr>
                <w:sz w:val="1"/>
                <w:szCs w:val="1"/>
                <w:color w:val="auto"/>
              </w:rPr>
            </w:pPr>
          </w:p>
        </w:tc>
      </w:tr>
      <w:tr>
        <w:trPr>
          <w:trHeight w:val="211"/>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240"/>
          </w:cols>
          <w:pgMar w:left="320" w:top="115" w:right="339" w:bottom="363"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363"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Liquidity</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as reported in this Quarterly Report on Form 10-Q reflect all adjustments which are, in the opinion of management, necessary to present fairly the financial position of the Company as of March 31, 2026 and the results of its operations for the three months ended March 31, 2026 and 2025 and its cash flows for the three months ended March 31, 2026 and 2025. All adjustments made to the interim financial statements include all those of a normal and recurring nature. Amounts presented in the condensed consolidated balance sheet as of December 31, 2025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2025.</w:t>
      </w:r>
    </w:p>
    <w:p>
      <w:pPr>
        <w:spacing w:after="0" w:line="192" w:lineRule="exact"/>
        <w:rPr>
          <w:sz w:val="20"/>
          <w:szCs w:val="20"/>
          <w:color w:val="auto"/>
        </w:rPr>
      </w:pPr>
    </w:p>
    <w:p>
      <w:pPr>
        <w:jc w:val="both"/>
        <w:ind w:right="260" w:firstLine="643"/>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US generally accepted accounting principles (GAAP) assuming the Company will continue as a going concern. The going concern assumption contemplates the realization of assets and satisfaction of liabilities in the normal course of business.</w:t>
      </w:r>
    </w:p>
    <w:p>
      <w:pPr>
        <w:spacing w:after="0" w:line="176" w:lineRule="exact"/>
        <w:rPr>
          <w:sz w:val="20"/>
          <w:szCs w:val="20"/>
          <w:color w:val="auto"/>
        </w:rPr>
      </w:pPr>
    </w:p>
    <w:p>
      <w:pPr>
        <w:ind w:right="40" w:firstLine="646"/>
        <w:spacing w:after="0" w:line="254" w:lineRule="auto"/>
        <w:rPr>
          <w:sz w:val="20"/>
          <w:szCs w:val="20"/>
          <w:color w:val="auto"/>
        </w:rPr>
      </w:pPr>
      <w:r>
        <w:rPr>
          <w:rFonts w:ascii="Times New Roman" w:cs="Times New Roman" w:eastAsia="Times New Roman" w:hAnsi="Times New Roman"/>
          <w:sz w:val="18"/>
          <w:szCs w:val="18"/>
          <w:color w:val="auto"/>
        </w:rPr>
        <w:t>The Company has operated at a loss since its inception and has had no revenues. The Company anticipates that losses will continue for the foreseeable future. At March 31, 2026, the Company had $14.1 million of unrestricted cash and cash equivalents available to fund future operations. As of March 31, 2026, the Company has available borrowings under a line of credit in the amount of $10 million provided by our chairman, Richard Uihlein, (See Note 10). The Company believes there is sufficient cash, including availability of the line of credit, to fund currently planned operations through May 2027.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w:t>
      </w:r>
    </w:p>
    <w:p>
      <w:pPr>
        <w:spacing w:after="0" w:line="19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 Accrued Expenses and Other</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costs and other</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including personnel costs, allocated facility costs, lab supplies, outside 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ectPr>
          <w:pgSz w:w="11900" w:h="16838" w:orient="portrait"/>
          <w:cols w:equalWidth="0" w:num="1">
            <w:col w:w="11260"/>
          </w:cols>
          <w:pgMar w:left="320" w:top="115" w:right="319" w:bottom="1440" w:gutter="0" w:footer="0" w:header="0"/>
        </w:sect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Convertible Notes Payable – Related Party</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On April 16, 2021, the Company and Richard E. Uihlein entered into a debt financing arrangement whereby Mr. Uihlein loaned $10,000,000 to the Company. In consideration for the loan, the Company issued a convertible promissory note (the “April 2021 Note”) in the principal amount of ten million dollars.</w:t>
      </w:r>
    </w:p>
    <w:p>
      <w:pPr>
        <w:spacing w:after="0" w:line="176" w:lineRule="exact"/>
        <w:rPr>
          <w:sz w:val="20"/>
          <w:szCs w:val="20"/>
          <w:color w:val="auto"/>
        </w:rPr>
      </w:pPr>
    </w:p>
    <w:p>
      <w:pPr>
        <w:jc w:val="both"/>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April 2021 Note had an original maturity date of April 16, 2025, is prepayable at the option of the Company in whole or in part at any time and is convertible into the Company’s common stock at a conversion price equal to $5.00 per share at the option of the noteholder. The April 2021 Note bears interest at the rate of two percent (2%) per annum, compounded annually with an effective interest rate of approximately 3%. For the three months ended March 31, 2026 and 2025, approximately $54,000 and $53,000, respectively, of interest expense was accrued and included with the principal in the financial statements.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April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April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April 2021 Note at its inception. The fair value of the contingent interest derivative liability was $420,000 at note inception (April 16, 2021). The fair value of the contingent interest derivative liability was $1,330,000 and $1,680,000 at March 31, 2026 and December 31, 2025, respectively, and is recognized as a derivative liability in the consolidated balance sheet. The change in the fair value of the derivative liability for the three months ended March 31, 2026 and 2025 of $(350,000) and $89,000 respectively, was charged to other expense for the three months ended March 31, 2026 and 2025. The amortization of the original $420,000 debt discount of $26,000 was recorded as additional interest expense for the three months ended March 31, 2025. The debt discount was fully amortized at December 31, 2025.</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May 14, 2024, Mr. Uihlein, as holder of the April 2021 Note irrevocably elected to convert the entire principal amount of such note, plus accrued and unpaid interest, into shares of common stock of the Company at a price of $5.00 per share, effective as of April 16, 2025, which is the maturity date of the April 2021 Note. In connection with entering into the March 2025 Supplemental Line of Credit (see Note 10), the Company agreed to extend the maturity date of the Convertible Promissory Note dated April 2021 from April 16, 2025 to September 30, 2025. Additionally, in connection with entering into the July 2025 Supplemental Line of Credit (see Note 10), the Company agreed to extend the maturity date of the Convertible Promissory Note dated April 2021 (and the September 2021 and December 2021 Convertible Notes) from September 30, 2025 to September 30, 2026. Finally, in connection with entering into the December 2025 Supplemental Line of Credit (see Note 9), the Company agreed to extend the maturity date of the Convertible Promissory Note dated April 2021 (and the September 2021 and December 2021 Convertible Notes) from September 30, 2026 to June 30, 2027. The April 2021 Note will remain outstanding and accrue interest until maturity, and no shares of common stock will be issued as a result of this election until June 30, 2027.</w:t>
      </w:r>
    </w:p>
    <w:p>
      <w:pPr>
        <w:spacing w:after="0" w:line="19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September 2021 Note had an original maturity date of September 17, 2025, is prepayable at the option of the Company in whole or in part at any time and is convertible into the Company’s common stock at a conversion price equal to $8.64 per share at the option of the noteholder. The September 2021 Note bears interest at the rate of two percent (2%) per annum, compounded annually with an effective interest rate of approximately 3%. For the three months ended March 31, 2026 and 2025, approximately $54,000 and $53,000, respectively, of interest expense was accrued and included with the principal in the financial statements.</w:t>
      </w:r>
    </w:p>
    <w:p>
      <w:pPr>
        <w:spacing w:after="0" w:line="18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September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September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September Note at its inception. The fair value of the contingent interest derivative liability was $433,000 at note inception (September 17, 2021). The fair value of the contingent interest derivative liability was $613,000 and $924,000 at March 31, 2026 and December 31, 2025, respectively, and is recognized as a derivative liability in the consolidated balance sheet. The change in the fair value of the derivative liability for the three months ended March 31, 2026 and 2025 of $(311,000) and $(21,000), respectively, was recorded to other expense for the three months ended March 31, 2026 and 2025. The amortization of the original $433,000 debt discount of $27,000 was recorded as additional interest expense for the three months ended March 31, 2025. The debt discount was fully amortized at December 31, 2025.</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2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December 20, 2021, the second of the two promissory notes under the Loan Agreement was executed and delivered, (the “December 2021 Note”) to evidence the second loan in the principal amount of $10,000,000. The December 2021 Note had an original maturity date of December 20, 2025, is prepayable at the option of the Company in whole or in part at any time and is convertible into the Company’s common stock at a conversion price equal to $5.43 per share at the option of the noteholder. The December Note bears interest at the rate of two percent (2%) per annum, compounded annually with an effective interest rate of approximately 3%. For the three months ended March 31, 2026 and 2025, approximately $54,000 and $53,000, respectively, of interest expense was accrued and included with the principal in the financial statements.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December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December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December Note at its inception. The fair value of the contingent interest derivative liability was $415,000 at note inception (December 20, 2021). The fair value of the contingent interest derivative liability was $1,036,000 and $1,358,000 at March 31, 2026 and December 31, 2025, respectively, and is recognized as a derivative liability in the consolidated balance sheet. The change in the fair value of the derivative liability for the three months ended March 31, 2026 and 2025. of $(322,000) and $(43,000), respectively was recorded to other expense for the three months ended March 31, 2026 and 2025. The amortization of the original $415,000 debt discount of $26,000 was recorded as additional interest expense for the three months ended March 31, 2025. The debt discount was fully amortized at December 31, 2025.</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contractual cash obligations related to the outstanding convertible notes payable is a repayment of the September 2021 Note of the $10,000,000 plus accrued interest on June 30, 2027 and a repayment of the December 2021 Note of the $10,000,000 plus accrued interest on June 30, 2027, unless converted at the option of the noteholder.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1 or 2 assets or liabilities at March 31, 2026 or December 31, 2025. See below for Fair Value of Derivatives related to Convertible Notes Payable at March 31, 2026 and December 31, 2025, which are level 3 liabilities.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assets and liabilities measured and recorded at fair value on a recurring basis at March 31, 2026 and December 31,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7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April Note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1,680,000</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September Note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924,000</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December Note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1,358,000</w:t>
            </w:r>
          </w:p>
        </w:tc>
      </w:tr>
    </w:tbl>
    <w:p>
      <w:pPr>
        <w:spacing w:after="0" w:line="198"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April Note derivative liability – contingent interest was valued using a Monte Carlo Geometric Brownian Stock Path Model. The key assumptions used in the model at March 31, 2026 and December 31, 2025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6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Term</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1.25 years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1.5 years</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1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roll forward of the April Note derivative liability – contingent interest is as follows for the three months ended March 31, 2026 and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1,680,000</w:t>
            </w:r>
          </w:p>
        </w:tc>
      </w:tr>
      <w:tr>
        <w:trPr>
          <w:trHeight w:val="223"/>
        </w:trPr>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(350,000)</w:t>
            </w:r>
          </w:p>
        </w:tc>
      </w:tr>
      <w:tr>
        <w:trPr>
          <w:trHeight w:val="223"/>
        </w:trPr>
        <w:tc>
          <w:tcPr>
            <w:tcW w:w="10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March 31, 2026</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47,000</w:t>
            </w:r>
          </w:p>
        </w:tc>
      </w:tr>
      <w:tr>
        <w:trPr>
          <w:trHeight w:val="223"/>
        </w:trPr>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89,000</w:t>
            </w:r>
          </w:p>
        </w:tc>
        <w:tc>
          <w:tcPr>
            <w:tcW w:w="100" w:type="dxa"/>
            <w:vAlign w:val="bottom"/>
          </w:tcPr>
          <w:p>
            <w:pPr>
              <w:spacing w:after="0"/>
              <w:rPr>
                <w:sz w:val="19"/>
                <w:szCs w:val="19"/>
                <w:color w:val="auto"/>
              </w:rPr>
            </w:pPr>
          </w:p>
        </w:tc>
      </w:tr>
      <w:tr>
        <w:trPr>
          <w:trHeight w:val="223"/>
        </w:trPr>
        <w:tc>
          <w:tcPr>
            <w:tcW w:w="10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March 31, 2025</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2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September Note derivative liability – contingent interest was valued using a Monte Carlo Geometric Brownian Stock Path Model. The key assumptions used in the model at March 31, 2026 and December 31, 2025 are as follows:</w:t>
      </w:r>
    </w:p>
    <w:tbl>
      <w:tblPr>
        <w:tblLayout w:type="fixed"/>
        <w:tblInd w:w="0" w:type="dxa"/>
        <w:tblCellMar>
          <w:top w:w="0" w:type="dxa"/>
          <w:left w:w="0" w:type="dxa"/>
          <w:bottom w:w="0" w:type="dxa"/>
          <w:right w:w="0" w:type="dxa"/>
        </w:tblCellMar>
      </w:tblPr>
      <w:tr>
        <w:trPr>
          <w:trHeight w:val="194"/>
        </w:trPr>
        <w:tc>
          <w:tcPr>
            <w:tcW w:w="8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3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 years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12.03%</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8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roll forward of the September Note derivative liability – contingent interest is as follows: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924,000</w:t>
            </w: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(311,000)</w:t>
            </w:r>
          </w:p>
        </w:tc>
      </w:tr>
      <w:tr>
        <w:trPr>
          <w:trHeight w:val="223"/>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2026</w:t>
            </w: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94,000</w:t>
            </w: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(21,000)</w:t>
            </w:r>
          </w:p>
        </w:tc>
      </w:tr>
      <w:tr>
        <w:trPr>
          <w:trHeight w:val="223"/>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2025</w:t>
            </w: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December Note derivative liability – contingent interest was valued using a Monte Carlo Geometric Brownian Stock Path Model. The key assumptions used in the model at March 31, 2026 and December 31, 2025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5.43</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 years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1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8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roll forward of the December Note derivative liability – contingent interest is as follows: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1,358,000</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(322,000)</w:t>
            </w:r>
          </w:p>
        </w:tc>
      </w:tr>
      <w:tr>
        <w:trPr>
          <w:trHeight w:val="22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March 31, 2026</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275,000</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(43,000)</w:t>
            </w:r>
          </w:p>
        </w:tc>
      </w:tr>
      <w:tr>
        <w:trPr>
          <w:trHeight w:val="22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March 31, 2025</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232,000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229"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Following is the stock-based compensation expense related to common stock options, restricted common stock, common stock warrants and deferred stock units:</w:t>
      </w:r>
    </w:p>
    <w:tbl>
      <w:tblPr>
        <w:tblLayout w:type="fixed"/>
        <w:tblInd w:w="0" w:type="dxa"/>
        <w:tblCellMar>
          <w:top w:w="0" w:type="dxa"/>
          <w:left w:w="0" w:type="dxa"/>
          <w:bottom w:w="0" w:type="dxa"/>
          <w:right w:w="0" w:type="dxa"/>
        </w:tblCellMar>
      </w:tblPr>
      <w:tr>
        <w:trPr>
          <w:trHeight w:val="194"/>
        </w:trPr>
        <w:tc>
          <w:tcPr>
            <w:tcW w:w="43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160" w:type="dxa"/>
            <w:vAlign w:val="bottom"/>
            <w:gridSpan w:val="4"/>
          </w:tcPr>
          <w:p>
            <w:pPr>
              <w:jc w:val="center"/>
              <w:ind w:left="333"/>
              <w:spacing w:after="0" w:line="194"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284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491</w:t>
            </w:r>
          </w:p>
        </w:tc>
        <w:tc>
          <w:tcPr>
            <w:tcW w:w="82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41"/>
        </w:trPr>
        <w:tc>
          <w:tcPr>
            <w:tcW w:w="4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34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775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2948"/>
              <w:spacing w:after="0"/>
              <w:rPr>
                <w:sz w:val="20"/>
                <w:szCs w:val="20"/>
                <w:color w:val="auto"/>
              </w:rPr>
            </w:pPr>
            <w:r>
              <w:rPr>
                <w:rFonts w:ascii="Times New Roman" w:cs="Times New Roman" w:eastAsia="Times New Roman" w:hAnsi="Times New Roman"/>
                <w:sz w:val="14"/>
                <w:szCs w:val="14"/>
                <w:color w:val="auto"/>
              </w:rPr>
              <w:t>9</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34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4340" w:type="dxa"/>
            <w:vAlign w:val="bottom"/>
            <w:tcBorders>
              <w:bottom w:val="single" w:sz="8" w:color="auto"/>
            </w:tcBorders>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28"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in the Company’s equity incentive plans, including non-plan grants to Company executives, from December 31, 2025 through March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1"/>
                <w:szCs w:val="21"/>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6,572,509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1,020,000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(173,333)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23"/>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forfeited/cancelled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(211,583)</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r>
      <w:tr>
        <w:trPr>
          <w:trHeight w:val="241"/>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7,207,593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there was $2,113,685 of unrecognized compensation related to 1,680,000 unvested options, which is expected to be recognized over a weighted–average period of approximately 0.9 years. The weighted-average grant date fair value for options granted during the three months ended March 31, 2026 was $2.22. The Company granted 1,020,000 stock options during the three months ended March 31, 2026.</w:t>
      </w:r>
    </w:p>
    <w:p>
      <w:pPr>
        <w:spacing w:after="0" w:line="176" w:lineRule="exact"/>
        <w:rPr>
          <w:sz w:val="20"/>
          <w:szCs w:val="20"/>
          <w:color w:val="auto"/>
        </w:rPr>
      </w:pPr>
    </w:p>
    <w:p>
      <w:pPr>
        <w:ind w:right="78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all other options granted is determined using the Black-Scholes option-pricing model. The following weighted average assumptions were used:</w:t>
      </w:r>
    </w:p>
    <w:tbl>
      <w:tblPr>
        <w:tblLayout w:type="fixed"/>
        <w:tblInd w:w="0" w:type="dxa"/>
        <w:tblCellMar>
          <w:top w:w="0" w:type="dxa"/>
          <w:left w:w="0" w:type="dxa"/>
          <w:bottom w:w="0" w:type="dxa"/>
          <w:right w:w="0" w:type="dxa"/>
        </w:tblCellMar>
      </w:tblPr>
      <w:tr>
        <w:trPr>
          <w:trHeight w:val="194"/>
        </w:trPr>
        <w:tc>
          <w:tcPr>
            <w:tcW w:w="8600" w:type="dxa"/>
            <w:vAlign w:val="bottom"/>
          </w:tcPr>
          <w:p>
            <w:pPr>
              <w:spacing w:after="0"/>
              <w:rPr>
                <w:sz w:val="16"/>
                <w:szCs w:val="16"/>
                <w:color w:val="auto"/>
              </w:rPr>
            </w:pPr>
          </w:p>
        </w:tc>
        <w:tc>
          <w:tcPr>
            <w:tcW w:w="1380" w:type="dxa"/>
            <w:vAlign w:val="bottom"/>
            <w:gridSpan w:val="2"/>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260" w:type="dxa"/>
            <w:vAlign w:val="bottom"/>
            <w:gridSpan w:val="2"/>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5"/>
              </w:rPr>
              <w:t>Three</w:t>
            </w:r>
          </w:p>
        </w:tc>
      </w:t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Months</w:t>
            </w:r>
          </w:p>
        </w:tc>
      </w:t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45"/>
        </w:trPr>
        <w:tc>
          <w:tcPr>
            <w:tcW w:w="8600" w:type="dxa"/>
            <w:vAlign w:val="bottom"/>
          </w:tcPr>
          <w:p>
            <w:pPr>
              <w:spacing w:after="0"/>
              <w:rPr>
                <w:sz w:val="21"/>
                <w:szCs w:val="21"/>
                <w:color w:val="auto"/>
              </w:rPr>
            </w:pPr>
          </w:p>
        </w:tc>
        <w:tc>
          <w:tcPr>
            <w:tcW w:w="13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23"/>
        </w:trPr>
        <w:tc>
          <w:tcPr>
            <w:tcW w:w="86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Borders>
              <w:bottom w:val="single" w:sz="8" w:color="CCEEFF"/>
            </w:tcBorders>
          </w:tcPr>
          <w:p>
            <w:pPr>
              <w:spacing w:after="0"/>
              <w:rPr>
                <w:sz w:val="19"/>
                <w:szCs w:val="19"/>
                <w:color w:val="auto"/>
              </w:rPr>
            </w:pP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the options</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5.6 years</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5.6 years</w:t>
            </w: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of the underlying stock</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January 2026, the Company’s board chairman elected to take restricted stock grants in lieu of cash retainers for 2025. A total of 13,158 shares of restricted stock valued at approximately $40,000 is being amortized to expense on a straight-line basis until December 31, 2026 when the stock vests in full. In January 2025, the Company’s board chairman elected to take restricted stock grants in lieu of cash retainers for 2025. A total of 32,250 shares of restricted stock valued at approximately $40,000 is being amortized to expense on a straight-line basis until December 31, 2025 when the stock vested in full.</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issued 505,000 restricted stock units to its employees valued at $1,535,000 at the date of grant. These restricted stock units will vest 100% on the earlier of entering into a partnership or December 31, 2026. The Company believes that is probable that the vesting condition will be met and is amortizing the restricted stock unit expense ratably in 2026. The amount of expense recorded during the quarter ended March 31, 2026 was $329,000.</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issued 504,000 restricted stock units to its employees valued at $620,000 at the date of grant. These restricted stock units will vest 100% on the earlier of entering into a partnership or December 31, 2025. The Company believes that is probable that the vesting condition will be met and is amortizing the restricted stock unit expense ratably in 2025. The amount of expense recorded during the quarter ended March 31, 2025 was $124,000.</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September 2020, the Company entered into an employment agreement with its new Chief Executive Officer whereby 20% of his base salary and performance bonuses will be paid in cash, and 80% will be paid in the form of deferred stock units (“DSUs”) through December 31, 2022 in accordance with the terms and subject to the provisions set forth in the DSU Agreement. DSUs credited to Mr. Lewis as of any date shall be fully vested and nonforfeitable at all times. Pursuant to an amendment to the DSU Agreement in July 2022, the Company shall issue the shares earned through December 31, 2022 underlying the outstanding whole number of DSUs credited to Mr. Lewis as follows: twenty five percent shall be issued on March 1, 2023, fifty percent shall be issued on March 1, 2024 and twenty five percent shall be issued on September 1, 2028. Additionally, a 2023 DSU Agreement was executed in July 2022, whereby Mr. Lewis would continue to receive 20% of salary in cash and 80% in DSUs through December 31, 2023. The shares under the 2023 DSU Agreement are to be issued fifty percent on March 1, 2025 and fifty percent on January 5, 2026.</w:t>
      </w:r>
    </w:p>
    <w:p>
      <w:pPr>
        <w:spacing w:after="0" w:line="192"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On January 5, 2026, fifty percent of the DSU’s were issued to Mr. Lewis in accordance with the 2023 DSU Agreement. A total of 137,563 shares were due to be issued; however, 56,336 shares were withheld to cover income tax withholding of $218,568 resulting in 81,232 shares actually issued.</w:t>
      </w:r>
    </w:p>
    <w:p>
      <w:pPr>
        <w:spacing w:after="0" w:line="140"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On March 1, 2025, fifty percent of the DSU’s were issued to Mr. Lewis in accordance with the 2023 DSU Agreement. A total of 137,563 shares were due to be issued; however, 56,420 shares were withheld to cover income tax withholding of $88,579 resulting in 81,144 shares actually issued.</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unrecognized compensation expense related to the DSUs.</w:t>
      </w:r>
    </w:p>
    <w:p>
      <w:pPr>
        <w:sectPr>
          <w:pgSz w:w="11900" w:h="16838" w:orient="portrait"/>
          <w:cols w:equalWidth="0" w:num="1">
            <w:col w:w="11240"/>
          </w:cols>
          <w:pgMar w:left="320" w:top="116"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Common Stock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common stock warrant activity from December 31, 2025 through March 31, 2026:</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1"/>
                <w:szCs w:val="21"/>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4,172,144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Forfeited/cancelled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4,172,144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The weighted average expiration of the warrants outstanding as of March 31, 2026 is 1.3 years.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Loss Per Share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87"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59"/>
        </w:trPr>
        <w:tc>
          <w:tcPr>
            <w:tcW w:w="8680" w:type="dxa"/>
            <w:vAlign w:val="bottom"/>
          </w:tcPr>
          <w:p>
            <w:pPr>
              <w:spacing w:after="0"/>
              <w:rPr>
                <w:sz w:val="22"/>
                <w:szCs w:val="22"/>
                <w:color w:val="auto"/>
              </w:rPr>
            </w:pPr>
          </w:p>
        </w:tc>
        <w:tc>
          <w:tcPr>
            <w:tcW w:w="11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2"/>
                <w:szCs w:val="22"/>
                <w:color w:val="auto"/>
              </w:rPr>
            </w:pPr>
          </w:p>
        </w:tc>
      </w:tr>
      <w:tr>
        <w:trPr>
          <w:trHeight w:val="241"/>
        </w:trPr>
        <w:tc>
          <w:tcPr>
            <w:tcW w:w="8680" w:type="dxa"/>
            <w:vAlign w:val="bottom"/>
          </w:tcPr>
          <w:p>
            <w:pPr>
              <w:spacing w:after="0"/>
              <w:rPr>
                <w:sz w:val="20"/>
                <w:szCs w:val="20"/>
                <w:color w:val="auto"/>
              </w:rPr>
            </w:pP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220" w:type="dxa"/>
            <w:vAlign w:val="bottom"/>
          </w:tcPr>
          <w:p>
            <w:pPr>
              <w:spacing w:after="0"/>
              <w:rPr>
                <w:sz w:val="20"/>
                <w:szCs w:val="20"/>
                <w:color w:val="auto"/>
              </w:rPr>
            </w:pP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r>
      <w:tr>
        <w:trPr>
          <w:trHeight w:val="21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shares of common stock</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4,172,144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9,595,777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shares of 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7,207,593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7,999,758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518,158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536,520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convertible notes payable – related party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7,785,092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7,175,772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convertible line of credit – related party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33,642,982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25,515,956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preferred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490,840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499,174</w:t>
            </w:r>
          </w:p>
        </w:tc>
      </w:tr>
      <w:tr>
        <w:trPr>
          <w:trHeight w:val="255"/>
        </w:trPr>
        <w:tc>
          <w:tcPr>
            <w:tcW w:w="86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53,816,809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51,322,957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2020 At Market Issuance of Common Stock</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During the quarters ended March 31, 2026 and 2025, there were no issuances of shares of common stock under the 2020 At Market Agreement.</w:t>
      </w:r>
    </w:p>
    <w:p>
      <w:pPr>
        <w:spacing w:after="0" w:line="187"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For each of the three months ended March 31, 2026 and 2025, the Company issued a total of 29,450 and 29,950 shares of common stock, respectively, for dividends on Series A and Series C Preferred Stock.</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Line of Credit – Related Party and Supplemental Convertible Lines of Credit – Related Party</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July 25, 2022, the Company and Richard E. Uihlein (the “Lender”) entered into a Line of Credit Letter Agreement (the “Credit Agreement”), pursuant to which the Lender shall provide the Company a line of credit of up to $60.0 million (the “Line of Credit”) to finance the Company’s working capital needs. The Company may draw upon the Line of Credit through July 31, 2024.</w:t>
      </w:r>
    </w:p>
    <w:p>
      <w:pPr>
        <w:spacing w:after="0" w:line="17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Each advance made pursuant to the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were originally due on or before January 31, 2026, however, the maturity date was extended to September 30, 2026 in connection with a new line of credit dated July 8, 2025. Due to the extension of the maturity date for all lines of credit, the remaining amortization expense of the warrants issued with each draw was adjusted prospectively from July 8, 2025 through September 30, 2026. In connection with another new line of credit dated December 31, 2025, the maturity date for all lines of credit was extended to June 30, 2027. Only with the consent of the Lender, may the Promissory Notes be prepaid, in whole or in part, at any time without premium or penalty, but with interest on the amount or amounts prepaid.</w:t>
      </w:r>
    </w:p>
    <w:p>
      <w:pPr>
        <w:spacing w:after="0" w:line="19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Credit Agreement, the Company agreed to issue the Lender warrants to purchase up to an aggregate of 1,700,000 shares of the Company’s common stock, par value $0.001 per share (collectively, the “Warrants”). Upon execution of the Credit Agreement, the Company issued the Lender a Warrant to purchase up to 500,000 shares of Company’s Common Stock at an exercise price of $5.00 per share, which Warrant is exercisable upon issuance. Further, pursuant to the Credit Agreement, the Company shall issue to the Lender additional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8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500,000 warrants vested at closing on July 25, 2022 was $738,000 at the date of issuance based on the following assumptions: an expected life of 7 years, volatility of 92%, risk free interest rate of 3.19% and zero dividends. The fair value of the vested warrants was recorded in other assets (non-current) as a deferred financing cost and initially was being amortized on a straight-line basis from July 25, 2022 through January 31, 2026. The amortization period was adjusted through the extended maturity date of June 30, 2027. Amortization for the three months ended March 31, 2026 and 2025 of $12,000 and $52,000, respectively, was recorded as interest expense.</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December 19, 2022, the Company executed a $10 million Promissory Note under the Line of Credit. The interest rate on this draw is 6.46% (Applicable Federal Rate for short term loans on date of draw of 4.46% plus 2%). The effective interest rate is approximately 7.1%. Accrued interest on this draw was $2,355,000 and $2,158,000 at March 31, 2026 and December 31, 2025, respectively. The principal and accrued interest is convertible at the option of the Lender at $3.00 per share. In accordance with the Credit Agreement, the Company issued the Lender a Warrant to purchase up to 200,000 shares of Company’s Common Stock at an exercise price of $3.00 per share, which Warrant is exercisable upon issuance.</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December 19, 2022 was $160,780 at the date of issuance based on the following assumptions: an expected life of 7 years, volatility of 91%, risk free interest rate of 4.06% and zero dividends. The proceeds were allocated between the Promissory Note and the warrants issued, and the amount allocated to the warrants was recorded as a debt discount netted against principal to be amortized on a straight-line basis, which is not materially different than the effective interest method, from December 19, 2022 through June 30, 2027. Amortization for the three months ended March 31, 2026 and March 31, 2025 of $3,000 and $13,000, respectively, was recorded as interest expense. The fair value of warrants that vest in the future based on borrowings will be computed when those borrowings occur and amortized over the remaining period through June 30, 2027.</w:t>
      </w:r>
    </w:p>
    <w:p>
      <w:pPr>
        <w:spacing w:after="0" w:line="189" w:lineRule="exact"/>
        <w:rPr>
          <w:sz w:val="20"/>
          <w:szCs w:val="20"/>
          <w:color w:val="auto"/>
        </w:rPr>
      </w:pPr>
    </w:p>
    <w:p>
      <w:pPr>
        <w:ind w:left="20" w:firstLine="639"/>
        <w:spacing w:after="0" w:line="258" w:lineRule="auto"/>
        <w:rPr>
          <w:sz w:val="20"/>
          <w:szCs w:val="20"/>
          <w:color w:val="auto"/>
        </w:rPr>
      </w:pPr>
      <w:r>
        <w:rPr>
          <w:rFonts w:ascii="Times New Roman" w:cs="Times New Roman" w:eastAsia="Times New Roman" w:hAnsi="Times New Roman"/>
          <w:sz w:val="18"/>
          <w:szCs w:val="18"/>
          <w:color w:val="auto"/>
        </w:rPr>
        <w:t>On March 31, 2023, the Company executed an additional $10 million Promissory Note under the Line of Credit. The interest rate on this draw is 6.41% (Applicable Federal Rate for short term loans on date of draw of 4.41% plus 2%). The effective interest rate is approximately 7.1%. Accrued interest on this draw was approximately $2,114,000 and $1,922,000 at March 31, 2026 and December 31, 2025, respectively. The principal and accrued interest is convertible at the option of the Lender at $3.00 per share. In accordance with the Credit Agreement, the Company issued the Lender a Warrant to purchase up to 200,000 shares of Company’s Common Stock at an exercise price of $3.26 per share, which Warrant is exercisable upon issuance.</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28" w:lineRule="exact"/>
        <w:rPr>
          <w:sz w:val="20"/>
          <w:szCs w:val="20"/>
          <w:color w:val="auto"/>
        </w:rPr>
      </w:pPr>
    </w:p>
    <w:p>
      <w:pPr>
        <w:ind w:left="20" w:right="60" w:firstLine="641"/>
        <w:spacing w:after="0" w:line="258"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March 31, 2023 was $296,680 at the date of issuance based on the following assumptions: an expected life of 6.33 years, volatility of 88%, risk free interest rate of 3.94%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March 31, 2023 through June 30, 2027. Amortization for the quarters ended March 31, 2026 and 2025 of $6,000 and $26,000, respectively, was recorded as interest expense.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30, 2023, the Company executed an additional $10 million Promissory Note under the Line of Credit. The interest rate on this draw 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6.34% (Applicable Federal Rate for short term loans on date of draw of 4.34% plus 2%). The effective interest rate is approximately 7.1%. Accrued interest</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on this draw was approximately $1,899,000 and $1,713,000 at March 31, 2026 and December 31, 2026, respectively. The principal and accrued interest is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convertible at the option of the Lender at $3.00 per share. In accordance with the Credit Agreement, the Company issued the Lender a Warrant to purchase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up to 200,000 shares of Company’s Common Stock at an exercise price of $3.00 per share, which Warrant is exercisable upon issuance.</w:t>
      </w:r>
    </w:p>
    <w:p>
      <w:pPr>
        <w:spacing w:after="0" w:line="207" w:lineRule="exact"/>
        <w:rPr>
          <w:sz w:val="20"/>
          <w:szCs w:val="20"/>
          <w:color w:val="auto"/>
        </w:rPr>
      </w:pPr>
    </w:p>
    <w:p>
      <w:pPr>
        <w:ind w:left="20" w:right="60" w:firstLine="641"/>
        <w:spacing w:after="0" w:line="258"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June 30, 2023 was $179,920 at the date of issuance based on the following assumptions: an expected life of 6.08 years, volatility of 85%, risk free interest rate of 3.59%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June 30, 2023 through June 30, 2027. Amortization for the quarters ended March 31, 2026 and 2025 of $4,000 and $17,000, respectively, was recorded as interest expense.</w:t>
      </w:r>
    </w:p>
    <w:p>
      <w:pPr>
        <w:spacing w:after="0" w:line="183" w:lineRule="exact"/>
        <w:rPr>
          <w:sz w:val="20"/>
          <w:szCs w:val="20"/>
          <w:color w:val="auto"/>
        </w:rPr>
      </w:pPr>
    </w:p>
    <w:p>
      <w:pPr>
        <w:ind w:left="20" w:right="20" w:firstLine="641"/>
        <w:spacing w:after="0" w:line="258" w:lineRule="auto"/>
        <w:rPr>
          <w:sz w:val="20"/>
          <w:szCs w:val="20"/>
          <w:color w:val="auto"/>
        </w:rPr>
      </w:pPr>
      <w:r>
        <w:rPr>
          <w:rFonts w:ascii="Times New Roman" w:cs="Times New Roman" w:eastAsia="Times New Roman" w:hAnsi="Times New Roman"/>
          <w:sz w:val="18"/>
          <w:szCs w:val="18"/>
          <w:color w:val="auto"/>
        </w:rPr>
        <w:t>On December 29, 2023, the Company executed an additional $10 million Promissory Note under the Line of Credit. The interest rate on this draw is 7.13% (Applicable Federal Rate for short term loans on date of draw of 5.13% plus 2%). The effective interest rate is approximately 7.5%. Accrued interest on this draw was approximately $1,739,000 and $1,532,000 at March 31, 2026 and December 31, 2025, respectively. The principal and accrued interest is convertible at the option of the Lender at $3.00 per share. In accordance with the Credit Agreement, the Company issued the Lender a Warrant to purchase up to 200,000 shares of Company’s Common Stock at an exercise price of $3.00 per share, which Warrant is exercisable upon issuance.</w:t>
      </w:r>
    </w:p>
    <w:p>
      <w:pPr>
        <w:spacing w:after="0" w:line="183" w:lineRule="exact"/>
        <w:rPr>
          <w:sz w:val="20"/>
          <w:szCs w:val="20"/>
          <w:color w:val="auto"/>
        </w:rPr>
      </w:pPr>
    </w:p>
    <w:p>
      <w:pPr>
        <w:ind w:left="20" w:right="100" w:firstLine="641"/>
        <w:spacing w:after="0" w:line="258"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December 31, 2023 was $193,745 at the date of issuance based on the following assumptions: an expected life of 5.7 years, volatility of 79%, risk free interest rate of 4.49%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December 29, 2023 through June 30, 2027. Amortization for the quarters ended March 31, 2026 and 2025 of $5,000 and $23,000, respectively, was recorded as interest expense.</w:t>
      </w:r>
    </w:p>
    <w:p>
      <w:pPr>
        <w:spacing w:after="0" w:line="183" w:lineRule="exact"/>
        <w:rPr>
          <w:sz w:val="20"/>
          <w:szCs w:val="20"/>
          <w:color w:val="auto"/>
        </w:rPr>
      </w:pPr>
    </w:p>
    <w:p>
      <w:pPr>
        <w:ind w:left="20" w:firstLine="641"/>
        <w:spacing w:after="0" w:line="258" w:lineRule="auto"/>
        <w:rPr>
          <w:sz w:val="20"/>
          <w:szCs w:val="20"/>
          <w:color w:val="auto"/>
        </w:rPr>
      </w:pPr>
      <w:r>
        <w:rPr>
          <w:rFonts w:ascii="Times New Roman" w:cs="Times New Roman" w:eastAsia="Times New Roman" w:hAnsi="Times New Roman"/>
          <w:sz w:val="18"/>
          <w:szCs w:val="18"/>
          <w:color w:val="auto"/>
        </w:rPr>
        <w:t>On March 29, 2024, the Company executed an additional $10 million Promissory Note under the Line of Credit. The interest rate on this draw is 6.62% (Applicable Federal Rate for short term loans on date of draw of 4.62% plus 2%). The effective interest rate is approximately 7.1%. Accrued interest on this draw was $1,416,000 and $1,229,000 at March 31, 2026 and December 31, 2025, respectively. The principal and accrued interest is convertible at the option of the Lender at $3.00 per share. In accordance with the Credit Agreement, the Company issued the Lender a Warrant to purchase up to 200,000 shares of Company’s Common Stock at an exercise price of $3.59 per share, which Warrant is exercisable upon issuance.</w:t>
      </w:r>
    </w:p>
    <w:p>
      <w:pPr>
        <w:spacing w:after="0" w:line="183" w:lineRule="exact"/>
        <w:rPr>
          <w:sz w:val="20"/>
          <w:szCs w:val="20"/>
          <w:color w:val="auto"/>
        </w:rPr>
      </w:pPr>
    </w:p>
    <w:p>
      <w:pPr>
        <w:ind w:left="20" w:right="60" w:firstLine="641"/>
        <w:spacing w:after="0" w:line="258"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March 29, 2024, was $277,389 at the date of issuance based on the following assumptions: an expected life of 5.33 years, volatility of 75%, risk free interest rate of 4.19%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March 29, 2024 through June 30, 2027. Amortization for the quarters ended March 31, 2026 and 2025 of $9,000 and $38,000, respectively, was recorded as interest expense.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28, 2024, the Company executed an additional $10 million Promissory Note under the Line of Credit. The interest rate on this draw 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7.01% (Applicable Federal Rate for short term loans on date of draw of 5.01% plus 2%). The effective interest rate is approximately 7.4%. Accrued interest</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on this draw was $1,305,000 and $1,110,000 at March 31, 2026 and December 31, 2025, respectively. The principal and accrued interest is convertible at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option of the Lender at $3.00 per share. In accordance with the Credit Agreement, the Company issued the Lender a Warrant to purchase up to 200,000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of Company’s Common Stock at an exercise price of $3.39 per share, which Warrant is exercisable upon issuance.</w:t>
      </w:r>
    </w:p>
    <w:p>
      <w:pPr>
        <w:spacing w:after="0" w:line="207" w:lineRule="exact"/>
        <w:rPr>
          <w:sz w:val="20"/>
          <w:szCs w:val="20"/>
          <w:color w:val="auto"/>
        </w:rPr>
      </w:pPr>
    </w:p>
    <w:p>
      <w:pPr>
        <w:ind w:left="20" w:right="60" w:firstLine="641"/>
        <w:spacing w:after="0" w:line="258"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June 28, 2024, was $260,000 at the date of issuance based on the following assumptions: an expected life of 5.03 years, volatility of 77%, risk free interest rate of 4.29%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June 28, 2024 through June 30, 2027. Amortization for the quarters ended March 31, 2026 and 2025 of $41,000 and $9,000, respectively, was recorded as interest expense.</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28" w:lineRule="exact"/>
        <w:rPr>
          <w:sz w:val="20"/>
          <w:szCs w:val="20"/>
          <w:color w:val="auto"/>
        </w:rPr>
      </w:pPr>
    </w:p>
    <w:p>
      <w:pPr>
        <w:ind w:left="20" w:right="60" w:firstLine="634"/>
        <w:spacing w:after="0" w:line="289" w:lineRule="auto"/>
        <w:rPr>
          <w:sz w:val="20"/>
          <w:szCs w:val="20"/>
          <w:color w:val="auto"/>
        </w:rPr>
      </w:pPr>
      <w:r>
        <w:rPr>
          <w:rFonts w:ascii="Times New Roman" w:cs="Times New Roman" w:eastAsia="Times New Roman" w:hAnsi="Times New Roman"/>
          <w:sz w:val="17"/>
          <w:szCs w:val="17"/>
          <w:color w:val="auto"/>
        </w:rPr>
        <w:t>On March 29, 2024, the Company and Richard E. Uihlein (the “Lender”) entered into a Supplemental Line of Credit Letter Agreement (the “Supplemental Credit Agreement”), pursuant to which the Lender shall provide the Company a line of credit of up to $10.0 million (the “Supplemental Line of Credit”) to finance the Company’s working capital needs. The Company may draw upon the Supplemental Line of Credit through March 31, 2025.</w:t>
      </w:r>
    </w:p>
    <w:p>
      <w:pPr>
        <w:spacing w:after="0" w:line="158" w:lineRule="exact"/>
        <w:rPr>
          <w:sz w:val="20"/>
          <w:szCs w:val="20"/>
          <w:color w:val="auto"/>
        </w:rPr>
      </w:pPr>
    </w:p>
    <w:p>
      <w:pPr>
        <w:ind w:left="20" w:right="20" w:firstLine="637"/>
        <w:spacing w:after="0" w:line="258" w:lineRule="auto"/>
        <w:rPr>
          <w:sz w:val="20"/>
          <w:szCs w:val="20"/>
          <w:color w:val="auto"/>
        </w:rPr>
      </w:pPr>
      <w:r>
        <w:rPr>
          <w:rFonts w:ascii="Times New Roman" w:cs="Times New Roman" w:eastAsia="Times New Roman" w:hAnsi="Times New Roman"/>
          <w:sz w:val="18"/>
          <w:szCs w:val="18"/>
          <w:color w:val="auto"/>
        </w:rPr>
        <w:t>Each advance made pursuant to the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January 31, 2026, which was extended through June 30, 2027 in connection with the December 2025 agreement. Only with the consent of the Lender, may the Promissory Notes be prepaid, in whole or in part, at any time without premium or penalty, but with interest on the amount or amounts prepaid.</w:t>
      </w:r>
    </w:p>
    <w:p>
      <w:pPr>
        <w:spacing w:after="0" w:line="183" w:lineRule="exact"/>
        <w:rPr>
          <w:sz w:val="20"/>
          <w:szCs w:val="20"/>
          <w:color w:val="auto"/>
        </w:rPr>
      </w:pPr>
    </w:p>
    <w:p>
      <w:pPr>
        <w:ind w:left="20" w:right="100" w:firstLine="637"/>
        <w:spacing w:after="0" w:line="266"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6" w:lineRule="exact"/>
        <w:rPr>
          <w:sz w:val="20"/>
          <w:szCs w:val="20"/>
          <w:color w:val="auto"/>
        </w:rPr>
      </w:pPr>
    </w:p>
    <w:p>
      <w:pPr>
        <w:ind w:left="20" w:right="320" w:firstLine="637"/>
        <w:spacing w:after="0" w:line="258" w:lineRule="auto"/>
        <w:rPr>
          <w:sz w:val="20"/>
          <w:szCs w:val="20"/>
          <w:color w:val="auto"/>
        </w:rPr>
      </w:pPr>
      <w:r>
        <w:rPr>
          <w:rFonts w:ascii="Times New Roman" w:cs="Times New Roman" w:eastAsia="Times New Roman" w:hAnsi="Times New Roman"/>
          <w:sz w:val="18"/>
          <w:szCs w:val="18"/>
          <w:color w:val="auto"/>
        </w:rPr>
        <w:t>In connection with the Supplemental Credit Agreement, the Company agreed to issue the Lender warrants to purchase up to an aggregate of 200,000 shares of the Company’s common stock, par value $0.001 per share (collectively, the “Warrants”). The Company shall issue to the Lender Warrants ratably, upon borrowings under the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83" w:lineRule="exact"/>
        <w:rPr>
          <w:sz w:val="20"/>
          <w:szCs w:val="20"/>
          <w:color w:val="auto"/>
        </w:rPr>
      </w:pPr>
    </w:p>
    <w:p>
      <w:pPr>
        <w:ind w:left="20" w:firstLine="641"/>
        <w:spacing w:after="0" w:line="253" w:lineRule="auto"/>
        <w:rPr>
          <w:sz w:val="20"/>
          <w:szCs w:val="20"/>
          <w:color w:val="auto"/>
        </w:rPr>
      </w:pPr>
      <w:r>
        <w:rPr>
          <w:rFonts w:ascii="Times New Roman" w:cs="Times New Roman" w:eastAsia="Times New Roman" w:hAnsi="Times New Roman"/>
          <w:sz w:val="18"/>
          <w:szCs w:val="18"/>
          <w:color w:val="auto"/>
        </w:rPr>
        <w:t>On September 30, 2024, the Company executed a $10 million Promissory Note under the Supplemental Line of Credit. The interest rate on this draw is 6.13% (Applicable Federal Rate for short term loans on date of draw of 5.01% plus 2%). The effective interest rate is approximately 6.4%. Accrued interest on this draw was $1,017,000 and $841,000 at March 31, 2026 and December 31, 2025, respectively. The principal and accrued interest is convertible at the option of the Lender at $3.00 per share. In accordance with the Credit Agreement, the Company issued the Lender a Warrant to purchase up to 200,000 shares of Company’s Common Stock at an exercise price of $4.13 per share, which Warrant is exercisable upon issuance. The fair value of the 200,000 warrants vested at closing on September 30, 2024, was $307,780 at the date of issuance based on the following assumptions: an expected life of 4.83 years, volatility of 78%, risk free interest rate of 3.58%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October 1, 2024 through June 30, 2027. Amortization for the quarters ended March 31, 2026 and 2025 of $13,000 and $58,000, respectively, was recorded as interest expense.</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28" w:lineRule="exact"/>
        <w:rPr>
          <w:sz w:val="20"/>
          <w:szCs w:val="20"/>
          <w:color w:val="auto"/>
        </w:rPr>
      </w:pPr>
    </w:p>
    <w:p>
      <w:pPr>
        <w:ind w:left="20" w:right="40" w:firstLine="637"/>
        <w:spacing w:after="0" w:line="258" w:lineRule="auto"/>
        <w:rPr>
          <w:sz w:val="20"/>
          <w:szCs w:val="20"/>
          <w:color w:val="auto"/>
        </w:rPr>
      </w:pPr>
      <w:r>
        <w:rPr>
          <w:rFonts w:ascii="Times New Roman" w:cs="Times New Roman" w:eastAsia="Times New Roman" w:hAnsi="Times New Roman"/>
          <w:sz w:val="18"/>
          <w:szCs w:val="18"/>
          <w:color w:val="auto"/>
        </w:rPr>
        <w:t>On November 14, 2024, the Company and Richard E. Uihlein (the “Lender”) entered into an additional Supplemental Line of Credit Letter Agreement (the “November 2024 Supplemental Credit Agreement”), pursuant to which the Lender shall provide the Company a line of credit of up to $6.0 million (the “November 2024 Supplemental Line of Credit”) to finance the Company’s working capital needs. The Company may draw upon the November 2024 Supplemental Line of Credit, as amended, through May 31, 2025. On April 30, 2025, The Company executed a $6 million promissory note under the November 2024 Supplemental Line of Credit.</w:t>
      </w:r>
    </w:p>
    <w:p>
      <w:pPr>
        <w:spacing w:after="0" w:line="183" w:lineRule="exact"/>
        <w:rPr>
          <w:sz w:val="20"/>
          <w:szCs w:val="20"/>
          <w:color w:val="auto"/>
        </w:rPr>
      </w:pPr>
    </w:p>
    <w:p>
      <w:pPr>
        <w:ind w:left="20" w:firstLine="637"/>
        <w:spacing w:after="0" w:line="258" w:lineRule="auto"/>
        <w:rPr>
          <w:sz w:val="20"/>
          <w:szCs w:val="20"/>
          <w:color w:val="auto"/>
        </w:rPr>
      </w:pPr>
      <w:r>
        <w:rPr>
          <w:rFonts w:ascii="Times New Roman" w:cs="Times New Roman" w:eastAsia="Times New Roman" w:hAnsi="Times New Roman"/>
          <w:sz w:val="18"/>
          <w:szCs w:val="18"/>
          <w:color w:val="auto"/>
        </w:rPr>
        <w:t>Each advance made pursuant to the November 2024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March 31, 2026, which was extended to June 30, 2027 as part of the December 2025 agreement. Only with the consent of the Lender, may the Promissory Notes be prepaid, in whole or in part, at any time without premium or penalty, but with interest on the amount or amounts prepaid.</w:t>
      </w:r>
    </w:p>
    <w:p>
      <w:pPr>
        <w:spacing w:after="0" w:line="183" w:lineRule="exact"/>
        <w:rPr>
          <w:sz w:val="20"/>
          <w:szCs w:val="20"/>
          <w:color w:val="auto"/>
        </w:rPr>
      </w:pPr>
    </w:p>
    <w:p>
      <w:pPr>
        <w:ind w:left="20" w:right="100" w:firstLine="637"/>
        <w:spacing w:after="0" w:line="266"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6" w:lineRule="exact"/>
        <w:rPr>
          <w:sz w:val="20"/>
          <w:szCs w:val="20"/>
          <w:color w:val="auto"/>
        </w:rPr>
      </w:pPr>
    </w:p>
    <w:p>
      <w:pPr>
        <w:ind w:left="20" w:right="60" w:firstLine="639"/>
        <w:spacing w:after="0" w:line="258" w:lineRule="auto"/>
        <w:rPr>
          <w:sz w:val="20"/>
          <w:szCs w:val="20"/>
          <w:color w:val="auto"/>
        </w:rPr>
      </w:pPr>
      <w:r>
        <w:rPr>
          <w:rFonts w:ascii="Times New Roman" w:cs="Times New Roman" w:eastAsia="Times New Roman" w:hAnsi="Times New Roman"/>
          <w:sz w:val="18"/>
          <w:szCs w:val="18"/>
          <w:color w:val="auto"/>
        </w:rPr>
        <w:t>In connection with the November 2024 Supplemental Credit Agreement, the Company agreed to issue the Lender warrants to purchase up to an aggregate of 120,000 shares of the Company’s common stock, par value $0.001 per share (collectively, the “Warrants”). The Company shall issue to the Lender Warrants ratably, upon borrowings under the November 2024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83" w:lineRule="exact"/>
        <w:rPr>
          <w:sz w:val="20"/>
          <w:szCs w:val="20"/>
          <w:color w:val="auto"/>
        </w:rPr>
      </w:pPr>
    </w:p>
    <w:p>
      <w:pPr>
        <w:ind w:right="80" w:firstLine="567"/>
        <w:spacing w:after="0" w:line="258" w:lineRule="auto"/>
        <w:rPr>
          <w:sz w:val="20"/>
          <w:szCs w:val="20"/>
          <w:color w:val="auto"/>
        </w:rPr>
      </w:pPr>
      <w:r>
        <w:rPr>
          <w:rFonts w:ascii="Times New Roman" w:cs="Times New Roman" w:eastAsia="Times New Roman" w:hAnsi="Times New Roman"/>
          <w:sz w:val="18"/>
          <w:szCs w:val="18"/>
          <w:color w:val="auto"/>
        </w:rPr>
        <w:t>On April 30, 2025, the Company executed a $6 million Promissory Note under the November 2024 Supplemental Line of Credit. The interest rate on this draw is 6.13% (Applicable Federal Rate for short term loans on date of draw of 4.13% plus 2%). The effective interest rate is approximately 6.4%. Accrued interest on this draw was $344,000 and $248,000 at March 31, 2026 and December 31, 2025, repsectively. The principal and accrued interest is convertible at the option of the Lender at $3.00 per share. In accordance with the Credit Agreement, the Company issued the Lender a Warrant to purchase up to 120,000 shares of Company’s Common Stock at an exercise price of $3.00 per share, which Warrant is exercisable upon issuance.</w:t>
      </w:r>
    </w:p>
    <w:p>
      <w:pPr>
        <w:spacing w:after="0" w:line="183"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The fair value of the 120,000 warrants vested at closing on April 30, 2025, was $80,040 at the date of issuance based on the following assumptions: an expected life of 4.25 years, volatility of 84%, risk free interest rate of 3.65%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April 30, 2025 through March 31, 2026, which was adjusted to September 30, 2026 in connection with the extension of maturity in July 2025, and further adjusted to June 30, 2027 in connection with the extension of maturity in December 2025. Amortization for the three months ended March 31, 2026 of $6,000 was recorded as interest expense.</w:t>
      </w:r>
    </w:p>
    <w:p>
      <w:pPr>
        <w:spacing w:after="0" w:line="187" w:lineRule="exact"/>
        <w:rPr>
          <w:sz w:val="20"/>
          <w:szCs w:val="20"/>
          <w:color w:val="auto"/>
        </w:rPr>
      </w:pPr>
    </w:p>
    <w:p>
      <w:pPr>
        <w:ind w:right="20" w:firstLine="567"/>
        <w:spacing w:after="0" w:line="261" w:lineRule="auto"/>
        <w:rPr>
          <w:sz w:val="20"/>
          <w:szCs w:val="20"/>
          <w:color w:val="auto"/>
        </w:rPr>
      </w:pPr>
      <w:r>
        <w:rPr>
          <w:rFonts w:ascii="Times New Roman" w:cs="Times New Roman" w:eastAsia="Times New Roman" w:hAnsi="Times New Roman"/>
          <w:sz w:val="18"/>
          <w:szCs w:val="18"/>
          <w:color w:val="auto"/>
        </w:rPr>
        <w:t>On March 31, 2025, the Company and Richard E. Uihlein (the “Lender”) entered into a Supplemental Line of Credit Letter Agreement (the “March 2025 Supplemental Credit Agreement”), pursuant to which the Lender shall provide the Company a line of credit of up to $5.0 million (the “March 2025 Supplemental Line of Credit”) to finance the Company’s working capital needs. The Company may draw upon the March 2025 Supplemental Line of Credit through September 30, 2025.</w:t>
      </w:r>
    </w:p>
    <w:p>
      <w:pPr>
        <w:spacing w:after="0" w:line="180"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Each advance made pursuant to the March 2025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March 31, 2026, which was extended to June 30, 2027 as part of the December 2025 agreement. Only with the consent of the Lender, may the Promissory Notes be prepaid, in whole or in part, at any time without premium or penalty, but with interest on the amount or amounts prepaid.</w:t>
      </w:r>
    </w:p>
    <w:p>
      <w:pPr>
        <w:spacing w:after="0" w:line="183"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March 2025 Supplemental Credit Agreement, the Company agreed to issue the Lender warrants to purchase up to an aggregate of 100,000 shares of the Company’s common stock, par value $0.001 per share (collectively, the “Warrants”). The Company shall issue to the Lender Warrants ratably, upon borrowings under the March 2025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83" w:lineRule="exact"/>
        <w:rPr>
          <w:sz w:val="20"/>
          <w:szCs w:val="20"/>
          <w:color w:val="auto"/>
        </w:rPr>
      </w:pPr>
    </w:p>
    <w:p>
      <w:pPr>
        <w:ind w:left="20" w:right="120" w:firstLine="689"/>
        <w:spacing w:after="0" w:line="261" w:lineRule="auto"/>
        <w:rPr>
          <w:sz w:val="20"/>
          <w:szCs w:val="20"/>
          <w:color w:val="auto"/>
        </w:rPr>
      </w:pPr>
      <w:r>
        <w:rPr>
          <w:rFonts w:ascii="Times New Roman" w:cs="Times New Roman" w:eastAsia="Times New Roman" w:hAnsi="Times New Roman"/>
          <w:sz w:val="18"/>
          <w:szCs w:val="18"/>
          <w:color w:val="auto"/>
        </w:rPr>
        <w:t>On June 30, 2025, the Company executed a $5 million Promissory Note under the March 2025 Supplemental Line of Credit. The interest rate on this draw is 5.93% (Applicable Federal Rate for short term loans on date of draw of 3.93% plus 2%). The effective interest rate is approximately 6.4%. Accrued interest on this draw was $227,000 and $150,000 at March 31, 2026 and December 31, 2025, respectively. The principal and accrued interest is convertible at the option of the Lender at $3.00 per share.</w:t>
      </w:r>
    </w:p>
    <w:p>
      <w:pPr>
        <w:spacing w:after="0" w:line="180" w:lineRule="exact"/>
        <w:rPr>
          <w:sz w:val="20"/>
          <w:szCs w:val="20"/>
          <w:color w:val="auto"/>
        </w:rPr>
      </w:pPr>
    </w:p>
    <w:p>
      <w:pPr>
        <w:ind w:left="20" w:right="60" w:firstLine="644"/>
        <w:spacing w:after="0" w:line="274" w:lineRule="auto"/>
        <w:rPr>
          <w:sz w:val="20"/>
          <w:szCs w:val="20"/>
          <w:color w:val="auto"/>
        </w:rPr>
      </w:pPr>
      <w:r>
        <w:rPr>
          <w:rFonts w:ascii="Times New Roman" w:cs="Times New Roman" w:eastAsia="Times New Roman" w:hAnsi="Times New Roman"/>
          <w:sz w:val="17"/>
          <w:szCs w:val="17"/>
          <w:color w:val="auto"/>
        </w:rPr>
        <w:t>In accordance with the Credit Agreement, the Company issued the Lender a Warrant to purchase up to 100,000 shares of Company’s Common Stock at an exercise price of $3.00 per share, which Warrant is exercisable upon issuance. The fair value of the 100,000 warrants vested at closing on June 30, 2025, was $132,000 at the date of issuance based on the following assumptions: an expected life of 4.08 years, volatility of 86%, risk free interest rate of 3.75%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June 30, 2025 through June 30, 2027. Amortization for the three months ended March 31, 2026 of $13,000 was recorded as interest expense.</w:t>
      </w:r>
    </w:p>
    <w:p>
      <w:pPr>
        <w:spacing w:after="0" w:line="173" w:lineRule="exact"/>
        <w:rPr>
          <w:sz w:val="20"/>
          <w:szCs w:val="20"/>
          <w:color w:val="auto"/>
        </w:rPr>
      </w:pPr>
    </w:p>
    <w:p>
      <w:pPr>
        <w:ind w:left="20" w:right="120" w:firstLine="644"/>
        <w:spacing w:after="0" w:line="256" w:lineRule="auto"/>
        <w:rPr>
          <w:sz w:val="20"/>
          <w:szCs w:val="20"/>
          <w:color w:val="auto"/>
        </w:rPr>
      </w:pPr>
      <w:r>
        <w:rPr>
          <w:rFonts w:ascii="Times New Roman" w:cs="Times New Roman" w:eastAsia="Times New Roman" w:hAnsi="Times New Roman"/>
          <w:sz w:val="18"/>
          <w:szCs w:val="18"/>
          <w:color w:val="auto"/>
        </w:rPr>
        <w:t>On July 8, 2025, the Company and Richard E. Uihlein (the “Lender”) entered into a Supplemental Line of Credit Letter Agreement (the “July 2025 Supplemental Credit Agreement”), pursuant to which the Lender shall provide the Company a line of credit of up to $10.0 million (the “July 2025 Supplemental Line of Credit”) to finance the Company’s working capital needs. The Company may draw upon the July 2025 Supplemental Line of Credit through April 30, 2026. Additionally, in connection with the July 2025 Supplemental Credit Agreement, the maturity dates of the Convertible Notes Payable – Related Party and all borrowings under the Convertible Lines of Credit –Related Party were extended to September 30, 2026, and further adjusted to June 30, 2027 in connection with the extension of maturity in December 2025.</w:t>
      </w:r>
    </w:p>
    <w:p>
      <w:pPr>
        <w:sectPr>
          <w:pgSz w:w="11900" w:h="16838" w:orient="portrait"/>
          <w:cols w:equalWidth="0" w:num="1">
            <w:col w:w="11220"/>
          </w:cols>
          <w:pgMar w:left="320" w:top="116" w:right="359" w:bottom="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28" w:lineRule="exact"/>
        <w:rPr>
          <w:sz w:val="20"/>
          <w:szCs w:val="20"/>
          <w:color w:val="auto"/>
        </w:rPr>
      </w:pPr>
    </w:p>
    <w:p>
      <w:pPr>
        <w:ind w:left="20" w:right="80" w:firstLine="644"/>
        <w:spacing w:after="0" w:line="255" w:lineRule="auto"/>
        <w:rPr>
          <w:sz w:val="20"/>
          <w:szCs w:val="20"/>
          <w:color w:val="auto"/>
        </w:rPr>
      </w:pPr>
      <w:r>
        <w:rPr>
          <w:rFonts w:ascii="Times New Roman" w:cs="Times New Roman" w:eastAsia="Times New Roman" w:hAnsi="Times New Roman"/>
          <w:sz w:val="18"/>
          <w:szCs w:val="18"/>
          <w:color w:val="auto"/>
        </w:rPr>
        <w:t>Each advance made pursuant to the July 2025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June 30, 2027. Only with the consent of the Lender, may the Promissory Notes be prepaid, in whole or in part, at any time without premium or penalty, but with interest on the amount or amounts prepaid. 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89" w:lineRule="exact"/>
        <w:rPr>
          <w:sz w:val="20"/>
          <w:szCs w:val="20"/>
          <w:color w:val="auto"/>
        </w:rPr>
      </w:pPr>
    </w:p>
    <w:p>
      <w:pPr>
        <w:ind w:left="20" w:right="120" w:firstLine="644"/>
        <w:spacing w:after="0" w:line="261" w:lineRule="auto"/>
        <w:rPr>
          <w:sz w:val="20"/>
          <w:szCs w:val="20"/>
          <w:color w:val="auto"/>
        </w:rPr>
      </w:pPr>
      <w:r>
        <w:rPr>
          <w:rFonts w:ascii="Times New Roman" w:cs="Times New Roman" w:eastAsia="Times New Roman" w:hAnsi="Times New Roman"/>
          <w:sz w:val="18"/>
          <w:szCs w:val="18"/>
          <w:color w:val="auto"/>
        </w:rPr>
        <w:t>In connection with the July 2025 Supplemental Credit Agreement, the Company agreed to issue the Lender warrants to purchase up to an aggregate of 200,000 shares of the Company’s common stock, par value $0.001 per share (collectively, the “Warrants”). The Company shall issue to the Lender Warrants ratably, upon borrowings under the July 2025 Supplemental Line of Credit, with exercise prices equal to 150% of the closing price of the Company’s common Stock on the date of the Promissory Note.</w:t>
      </w:r>
    </w:p>
    <w:p>
      <w:pPr>
        <w:spacing w:after="0" w:line="180" w:lineRule="exact"/>
        <w:rPr>
          <w:sz w:val="20"/>
          <w:szCs w:val="20"/>
          <w:color w:val="auto"/>
        </w:rPr>
      </w:pPr>
    </w:p>
    <w:p>
      <w:pPr>
        <w:ind w:left="20" w:right="80" w:firstLine="644"/>
        <w:spacing w:after="0" w:line="261" w:lineRule="auto"/>
        <w:rPr>
          <w:sz w:val="20"/>
          <w:szCs w:val="20"/>
          <w:color w:val="auto"/>
        </w:rPr>
      </w:pPr>
      <w:r>
        <w:rPr>
          <w:rFonts w:ascii="Times New Roman" w:cs="Times New Roman" w:eastAsia="Times New Roman" w:hAnsi="Times New Roman"/>
          <w:sz w:val="18"/>
          <w:szCs w:val="18"/>
          <w:color w:val="auto"/>
        </w:rPr>
        <w:t>On December 31, 2025, the Company executed a $10 million Promissory Note under the July 2025 Supplemental Line of Credit. The interest rate on this draw is 5.6% (Applicable Federal Rate for short term loans on date of draw of 3.6% plus 2%). The effective interest rate is approximately 5.9%. The principal and accrued interest is convertible at the option of the Lender at $4.05 per share. Accrued interest on this draw was $141,000 at March 31, 2026.</w:t>
      </w:r>
    </w:p>
    <w:p>
      <w:pPr>
        <w:spacing w:after="0" w:line="18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the Credit Agreement, the Company issued the Lender a Warrant to purchase up to 200,000 shares of Company’s Common Stock at an exercise price of $4.05 per share, which Warrant is exercisable upon issuance. The fair value of the 200,000 warrants vested at closing on December 31, 2025, was $454,000 at the date of issuance based on the following assumptions: an expected life of 3.58 years, volatility of 92%, risk free interest rate of 3.55%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December 31, 2025 through June 30, 2027. Amortization for the three months ended March 31, 2026 of $76,000 was recorded as interest expense.</w:t>
      </w:r>
    </w:p>
    <w:p>
      <w:pPr>
        <w:spacing w:after="0" w:line="18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On December 19, 2025, the Company and Richard E. Uihlein (the “Lender”) entered into a Supplemental Line of Credit Letter Agreement (the “December 2025 Supplemental Credit Agreement”), pursuant to which the Lender shall provide the Company a line of credit of up to $10.0 million (the “December 2025 Supplemental Line of Credit”) to finance the Company’s working capital needs. The Company may draw upon the December 2025 Supplemental Line of Credit through January 31, 2027.</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Each advance made pursuant to the December 2025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June 30, 2027. Only with the consent of the Lender, may the Promissory Notes be prepaid, in whole or in part, at any time without premium or penalty, but with interest on the amount or amounts prepaid. 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$4.38 per share.</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December 2025 Supplemental Credit Agreement, the Company agreed to issue the Lender warrants to purchase up to an aggregate of 200,000 shares of the Company’s common stock, par value $0.001 per share (collectively, the “Warrants”). The Company shall issue to the Lender Warrants ratably, upon borrowings under the July 2025 Supplemental Line of Credit, with exercise prices equal to 150% of the closing price of the Company’s common Stock on the date of the Promissory Note.</w:t>
      </w:r>
    </w:p>
    <w:p>
      <w:pPr>
        <w:spacing w:after="0" w:line="18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warrants that vest in the future based on borrowings will be computed when those borrowings occur and amortized over the remaining period through June 30, 2027.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entity about which separate discrete financial information is available for evaluation by the CODM, or decision-making group, in making decisions on how to allocate resources and assess performance. The Company’s CODM, the Chief Executive Officer, views the Company’s operations as one operating segment, which is focused on creating new therapies for fibrotic disease based on targeting galectin proteins. The Company does not have revenue in the current comparative period, incurs expenses primarily in North America and manages the business activities on a consolidated basis.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accounting policies of the fibrotic disease therapeutics segment are the same as those described in the summary of significant accounting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policies.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CODM assesses performance for the fibrotic disease therapeutics segment and decides how to allocate resources based on net loss that also is reported on the income statement as consolidated net loss. The measure of segment assets is reported on the balance sheet as cash and cash equivalents.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not generated any product revenue in the current period and expects to continue to incur significant expenses and operating losses for the foreseeable future as the Company advances its product candidates through all stages of development and clinical trials.</w:t>
      </w:r>
    </w:p>
    <w:p>
      <w:pPr>
        <w:sectPr>
          <w:pgSz w:w="11900" w:h="16838" w:orient="portrait"/>
          <w:cols w:equalWidth="0" w:num="1">
            <w:col w:w="11240"/>
          </w:cols>
          <w:pgMar w:left="320" w:top="116"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2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such, the CODM uses cash forecast models in deciding how to invest into the fibrotic disease therapeutics segment. Such cash forecast models are reviewed to assess the entity-wide operating results and performance. Net loss is used to monitor budget versus actual results. Monitoring budgeted versus actual results, net cash used in operating activities for the period and cash on hand are used in assessing performance of the segment.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the significant expense categories regularly reviewed by the CODM for the three month periods ended March 31, 2026 and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0" w:type="dxa"/>
            <w:vAlign w:val="bottom"/>
          </w:tcPr>
          <w:p>
            <w:pPr>
              <w:spacing w:after="0"/>
              <w:rPr>
                <w:sz w:val="1"/>
                <w:szCs w:val="1"/>
                <w:color w:val="auto"/>
              </w:rPr>
            </w:pPr>
          </w:p>
        </w:tc>
      </w:tr>
      <w:tr>
        <w:trPr>
          <w:trHeight w:val="176"/>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5"/>
                <w:szCs w:val="15"/>
                <w:color w:val="auto"/>
              </w:rPr>
            </w:pPr>
          </w:p>
        </w:tc>
        <w:tc>
          <w:tcPr>
            <w:tcW w:w="15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7,897</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loss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(4,077)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8"/>
                <w:szCs w:val="18"/>
                <w:color w:val="auto"/>
              </w:rPr>
            </w:pPr>
          </w:p>
        </w:tc>
        <w:tc>
          <w:tcPr>
            <w:tcW w:w="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(5,046)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(9,631)</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loss applicable to common stockholders</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(5,067)</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(9,605)</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Other segment items included in segment loss includes interest income and interest expense.</w:t>
      </w:r>
    </w:p>
    <w:p>
      <w:pPr>
        <w:spacing w:after="0" w:line="225"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Company is a single operating segment and therefore the measure of segment net loss is the same as consolidated net loss and does not require reconciliation.</w:t>
      </w:r>
    </w:p>
    <w:p>
      <w:pPr>
        <w:spacing w:after="0" w:line="162" w:lineRule="exact"/>
        <w:rPr>
          <w:sz w:val="20"/>
          <w:szCs w:val="20"/>
          <w:color w:val="auto"/>
        </w:rPr>
      </w:pPr>
    </w:p>
    <w:p>
      <w:pPr>
        <w:ind w:right="600" w:firstLine="576"/>
        <w:spacing w:after="0" w:line="266" w:lineRule="auto"/>
        <w:rPr>
          <w:sz w:val="20"/>
          <w:szCs w:val="20"/>
          <w:color w:val="auto"/>
        </w:rPr>
      </w:pPr>
      <w:r>
        <w:rPr>
          <w:rFonts w:ascii="Times New Roman" w:cs="Times New Roman" w:eastAsia="Times New Roman" w:hAnsi="Times New Roman"/>
          <w:sz w:val="18"/>
          <w:szCs w:val="18"/>
          <w:color w:val="auto"/>
        </w:rPr>
        <w:t>For the three month periods ended March 31, 2026 and 2025, the net cash used in operating activities was $3.9 million and $7.7 million, respectively. The table below summarizes the significant asset categories regularly reviewed by the CODM for the years ended March 31, 2026 and December 31, 2025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9"/>
                <w:szCs w:val="19"/>
                <w:color w:val="auto"/>
              </w:rPr>
            </w:pPr>
          </w:p>
        </w:tc>
      </w:tr>
      <w:tr>
        <w:trPr>
          <w:trHeight w:val="245"/>
        </w:trPr>
        <w:tc>
          <w:tcPr>
            <w:tcW w:w="86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3"/>
        </w:trPr>
        <w:tc>
          <w:tcPr>
            <w:tcW w:w="8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4"/>
          </w:tcPr>
          <w:p>
            <w:pPr>
              <w:jc w:val="right"/>
              <w:ind w:right="610"/>
              <w:spacing w:after="0" w:line="20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accruals for such contingencies to the extent that the Company concludes that their occurrence is probable, and the related damages are estimable. There are no significant pending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and Research Commitments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agreements with contractors for research and development activities to further its product candidates. The contracts generally may be canceled at any time by providing thirty days’ notice. The Company is involved in a dispute with a contract vendor for clinical trial management services provided outside of the United States. The contract in question is a variable contract. The Company has accrued its estimate of the amount owed to the contract vendor at March 31, 2026 and December 31, 2025.</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29"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The Company has one operating lease for its office space which was amended effective March 1, 2022 for a term of 38 months with no residual value guarantees or material restrictive covenants. The amended lease provided for free rent for the first six and a half months of the lease and continues the security deposit of $6,000. In addition to base rental payments included in the contractual obligations table above, the Company is responsible for our pro-rata share of the operating expenses for the building. Our lease cost for the three-month periods ended March 31, 2026 and 2025 was approximately $16,000 and $13,000, respectively, for each period and is included in general and administrative expenses. In March 2025, the Company renewed its existing office space lease effective for twelve months, ending April 30, 2026, at substantially the same terms. As of March 31, 2026, the right to use lease asset consisted of $6,000 and is included in other assets. Also, at March 31, 2026, current lease liability of $6,000 is included in accrued expenses. In April 2026, the Company renewed the lease for a minimum of twelve months and up to 36 months, at the Company’s option.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Galectin Sciences LLC</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each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Cumulatively as of March 31, 2026, the Company has contributed a total of $4,208,000, including $20,000 and $28,000 for the three months ended March 31, 2026 and 2025, respectively, for expenses of the LLC. Since the end of 2014, SBH has contributed $711,000 for expenses in the LLC. As of March 31, 2026, the Company’s ownership percentage in the LLC was 85.6%. The Company accounts for the interest in the LLC as a consolidated, less than wholly owned subsidiary. Because the LLC’s equity is immaterial, the value of the non-controlling interest is also deemed to be immaterial.</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3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May 2027;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197" w:lineRule="exact"/>
        <w:rPr>
          <w:sz w:val="20"/>
          <w:szCs w:val="20"/>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early stage of development,</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Mr. Uihlein for financing;</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NAVIGATE trial was our only active clinical trial, and we currently do not have plans or funding to undertake another clinical trial;</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from time to time faced substantial doubt about our ability to continue as a going concern;</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cannot assure you that we will generate revenue or profit;</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additional outside capital;</w:t>
      </w:r>
    </w:p>
    <w:p>
      <w:pPr>
        <w:spacing w:after="0" w:line="225" w:lineRule="exact"/>
        <w:rPr>
          <w:rFonts w:ascii="Times New Roman" w:cs="Times New Roman" w:eastAsia="Times New Roman" w:hAnsi="Times New Roman"/>
          <w:sz w:val="18"/>
          <w:szCs w:val="18"/>
          <w:color w:val="auto"/>
        </w:rPr>
      </w:pPr>
    </w:p>
    <w:p>
      <w:pPr>
        <w:ind w:left="820" w:right="180" w:hanging="488"/>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enter into strategic partnerships for the development, commercialization, manufacturing and distribution of our proposed product candidates;</w:t>
      </w:r>
    </w:p>
    <w:p>
      <w:pPr>
        <w:spacing w:after="0" w:line="16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any litigation;</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our technology and clinical trials, including expected dates of availability of clinical data;</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the efficacy and safety of our developmental product candidates in human trials;</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improve upon, protect and/or enforce our intellectual property;</w:t>
      </w:r>
    </w:p>
    <w:p>
      <w:pPr>
        <w:spacing w:after="0" w:line="225" w:lineRule="exact"/>
        <w:rPr>
          <w:rFonts w:ascii="Times New Roman" w:cs="Times New Roman" w:eastAsia="Times New Roman" w:hAnsi="Times New Roman"/>
          <w:sz w:val="18"/>
          <w:szCs w:val="18"/>
          <w:color w:val="auto"/>
        </w:rPr>
      </w:pPr>
    </w:p>
    <w:p>
      <w:pPr>
        <w:ind w:left="820" w:right="40" w:hanging="488"/>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16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stock price volatility in the biotechnology industry;</w:t>
      </w:r>
    </w:p>
    <w:p>
      <w:pPr>
        <w:spacing w:after="0" w:line="225" w:lineRule="exact"/>
        <w:rPr>
          <w:rFonts w:ascii="Times New Roman" w:cs="Times New Roman" w:eastAsia="Times New Roman" w:hAnsi="Times New Roman"/>
          <w:sz w:val="18"/>
          <w:szCs w:val="18"/>
          <w:color w:val="auto"/>
        </w:rPr>
      </w:pPr>
    </w:p>
    <w:p>
      <w:pPr>
        <w:ind w:left="820" w:right="100" w:hanging="488"/>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trading volume for our stock, concentration of ownership of our stock, and other risks detailed herein and from time to time in our SEC reports; and</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widespread pandemic and its potential impact, which could delay clinical trial and development efforts, as well as the impact that such a pandemic has on the volatility of the capital market and our ability to access the capital market.</w:t>
      </w:r>
    </w:p>
    <w:p>
      <w:pPr>
        <w:spacing w:after="0" w:line="161" w:lineRule="exact"/>
        <w:rPr>
          <w:rFonts w:ascii="Times New Roman" w:cs="Times New Roman" w:eastAsia="Times New Roman" w:hAnsi="Times New Roman"/>
          <w:sz w:val="18"/>
          <w:szCs w:val="18"/>
          <w:color w:val="auto"/>
        </w:rPr>
      </w:pPr>
    </w:p>
    <w:p>
      <w:pPr>
        <w:ind w:left="820" w:right="400" w:hanging="488"/>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detailed herein and from time to time in our SEC reports, including our Annual Report on Form 10-K filed with the SEC for the fiscal year ended December 31, 2025, and our subsequent SEC filings.</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accompanying consolidated financial statements and notes thereto of Galectin Therapeutics appearing elsewhere herein.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metabolic dysfunction-associated steatohepatitis (MASH, formerly known as nonalcoholic steatohepatitis, or NASH)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pacing w:after="0" w:line="19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lead galectin-3 inhibitor is belapectin (GR-MD-02), which has been demonstrated in preclinical models to reverse liver fibrosis and cirrhosis and in clinical studies to decrease portal hypertension and prevent its complication: the development of esophageal varices.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galectin-3 gene “knocked-out” can no longer develop fibrosis in response to experimental stimuli compared to animals with an intact galectin-3 gene. We are using our galectin-3 inhibitor to treat advanced liver fibrosis and liver cirrhosis in MASH patients. We have completed two Phase 1 clinical studies, a Phase 2 clinical study in MASH patients with advanced fibrosis (NASH-FX) and a second Phase 2b clinical trial in MASH patients with compensated cirrhosis and portal hypertension (NASH-CX).</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February 2023, we completed randomizations totaling 357 patients in a large, global Phase 2b/3 clinical trial, the NAVIGATE trial. Our study protocol was filed with the FDA on April 30, 2020, for a seamless adaptively-designed Phase 2b/3 clinical study evaluating the safety and efficacy of our galectin-3 inhibitor, belapectin, for the prevention of esophageal varices in patients with non-alcoholic steatohepatitis (MASH) cirrhosis. Further details are available at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under study NCT04365868. The information contained therein is not incorporated herein by reference. In September 2020, the Company received a letter from the FDA providing comments, asking questions and providing guidance on various aspects of the ongoing NAVIGATE trial. These comments were addressed, and the study proceeded accordingly.</w:t>
      </w:r>
    </w:p>
    <w:p>
      <w:pPr>
        <w:spacing w:after="0" w:line="18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Based on feedback from the U.S. Food and Drug Administration (FDA), the Company decided to analyze stage 1 of the NAVIGATE clinical trial results as a stand-alone trial. Therefore, the decision was made to present full top-line efficacy and safety results, following last patient last visit and database lock which occurred in fall 2024. In December 2024, we presented top-line results of the NAVIGATE clinical trial. In the intent-to-treat (ITT) population (N=355), while the incidence of varices was 43.2% reduced in the belapectin 2 mg/kg dose group vs placebo, the composite endpoint did not reach statistical significance. The per-protocol population (PPP) was pre-defined as subjects who completed 18 months of therapy with upper endoscopy performed at both baseline and 18 months. In the PPP (n=287), the incidence of varices was reduced by 49.3% (compared to the targeted 52.5% reduction) in the belapectin 2 mg/kg dose group (p-value &lt; 0.05). The Company further analyzed the two thirds of the completer patients in the NAVIGATE trial enrolled in the U.S. (n=186). The incidence of varices in this population was significantly reduced by 68.1% (p=0.02) in patients treated with belapectin 2 mg (4 out of 60) vs placebo (13 out of 62) in the U.S. While all three cohorts of patients in the U.S. had a higher percentage use of GLP-1 and statins than the rest of the world, the belapectin cohorts performed much better than placebo in the U.S.</w:t>
      </w:r>
    </w:p>
    <w:p>
      <w:pPr>
        <w:spacing w:after="0" w:line="19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7"/>
          <w:szCs w:val="17"/>
          <w:color w:val="auto"/>
        </w:rPr>
        <w:t>Belapectin demonstrated consistent, meaningful effects across multiple key biomarkers in MASH cirrhosis. Fewer patients experienced clinically significant worsening of liver stiffness (LSM), while improvements in the ELF (Enhanced Liver Fibrosis) score suggested reduced fibrosis risk and potential improvement in liver function. Notably, the strongest impact was observed in the subgroup with the highest baseline risk (ELF score 11.3), underscoring belapectin’s potential to benefit patients with advanced MASH cirrhosis. FibroScan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derived liver stiffness measurement (LSM) and the ELF test are the most widely used noninvasive markers to assess fibrosis severity and the risk of complications in patients with MASH and MASH cirrhosis.</w:t>
      </w:r>
    </w:p>
    <w:p>
      <w:pPr>
        <w:spacing w:after="0" w:line="18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Additionally, using the validated Baveno VII criteria for portal hypertension, treatment with belapectin was associated with a reduced presence of clinically significant portal hypertension (CSPH) and a lower risk of hepatic decompensation at 18 months.</w:t>
      </w:r>
    </w:p>
    <w:p>
      <w:pPr>
        <w:spacing w:after="0" w:line="158" w:lineRule="exact"/>
        <w:rPr>
          <w:sz w:val="20"/>
          <w:szCs w:val="20"/>
          <w:color w:val="auto"/>
        </w:rPr>
      </w:pPr>
    </w:p>
    <w:p>
      <w:pPr>
        <w:ind w:left="500" w:right="60" w:firstLine="75"/>
        <w:spacing w:after="0" w:line="259" w:lineRule="auto"/>
        <w:tabs>
          <w:tab w:leader="none" w:pos="122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Belapectin reduced clinically significant portal hypertension category and risk of hepatic decompensation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Using Baveno VII criteria incorporating liver stiffness measurement (LSM) by transient elastography (FibroScan®) and platelet count, belapectin treatment reduced the presence of clinically significant portal hypertension (CSPH) and lowered the risk of hepatic decompensation in patients with MASH cirrhosis. Notably, among recent MASH cirrhosis trials reported, NAVIGATE enrolled one of the most advanced patient populations, as evidenced by the high proportion of subjects meeting CSPH criteria at baseline.</w:t>
      </w:r>
    </w:p>
    <w:p>
      <w:pPr>
        <w:spacing w:after="0" w:line="183" w:lineRule="exact"/>
        <w:rPr>
          <w:rFonts w:ascii="Times New Roman" w:cs="Times New Roman" w:eastAsia="Times New Roman" w:hAnsi="Times New Roman"/>
          <w:sz w:val="18"/>
          <w:szCs w:val="18"/>
          <w:color w:val="auto"/>
        </w:rPr>
      </w:pPr>
    </w:p>
    <w:p>
      <w:pPr>
        <w:ind w:left="500" w:right="220" w:firstLine="75"/>
        <w:spacing w:after="0" w:line="282" w:lineRule="auto"/>
        <w:tabs>
          <w:tab w:leader="none" w:pos="122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portal hypertension risk categories were improved comparing belapectin to placebo. Over 18 months, a higher proportion of patients treated with belapectin transitioned from the CSPH or probable CSPH categories to the no/low-risk category, compared to placebo.</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in prior trials, the safety profile of belapectin remains highly encouraging with incidence of adverse events and serious adverse events comparable across the three cohorts. Rates of discontinuation, adverse events (AEs), and serious adverse events (SAEs) were comparable to placebo, with no drug-related SAEs reported in the NAVIGATE trial.</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Additionally, a study protocol entitled “A Single-dose, Open-label, Pharmacokinetic Study of Belapectin (GR-MD-02) in Subjects With Normal Hepatic Function and Subjects With Varying Degrees of Hepatic Impairment” has been filed with the FDA to examine the effects of the drug in subjects with normal hepatic function and subjects with varying degrees of hepatic impairment (study details are listed under study NCT04332432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this study became fully enrolled in February 2022 and favorable results were reported in 2023. The information contained therein is not incorporated herein by reference.</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including physical and chemical drug characterization, and commercial development. We also have established through our majority-owned joint venture subsidiary, Galectin Sciences LLC, a discovery program developing small molecules that inhibit galectin-3 and may afford alternative drug delivery (e.g., oral) and as a result expand the potential uses of galectin-3 inhibitor beyond belapectin. Three chemical series of composition of matter patents have been filed.</w:t>
      </w:r>
    </w:p>
    <w:p>
      <w:pPr>
        <w:sectPr>
          <w:pgSz w:w="11900" w:h="16838" w:orient="portrait"/>
          <w:cols w:equalWidth="0" w:num="1">
            <w:col w:w="11240"/>
          </w:cols>
          <w:pgMar w:left="320" w:top="115" w:right="339" w:bottom="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49530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9"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5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also pursuing a development pathway to clinical enhancement and commercialization for our lead compounds in immuno-oncology following our previous successful collaboration with Providence Portland Cancer Center. In 2022, we filed a new IND with FDA for advanced or metastatic head and neck cancer using belapectin in combination with a checkpoint (PD-1) inhibitor and received a Study May Proceed letter. The proposed phase 2 trial commencement is dependent on timing of financing.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our proposed products are presently in development, including pre-clinical and clinical trials.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Drug Development Programs</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Galectins are a class of proteins that are made by many cells in the body, but predominantly in cells of the immune system. As a group, these proteins are able to bind to sugar molecules that are attached to other proteins, called glycoproteins that are responsible for various functions within the body, most notably inflammation and fibrosis. Galectins, in particular galectin-3, act as a molecular glue, bringing together molecules that have sugars on them. Galectin-3, is known to be markedly increased in a number of significant diseases including inflammatory diseases leading to organs scarring (e.g. liver, lung, kidney, and heart) and cancers. The increase in galectin-3, by creating the so-called galectin-3 fibrosome, promotes the progression of multiple diseases. Published data substantiating the importance of galectin-3 in the fibrotic process arises from gene knockout experiments in animal studies. For instance, mice genetically altered to eliminate the galectin-3 gene, and thus unable to produce galectin-3, do not develop liver fibrosis in response to toxic insult to the liver.</w:t>
      </w:r>
    </w:p>
    <w:p>
      <w:pPr>
        <w:spacing w:after="0" w:line="19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have one new proprietary chemical entity (NCE) in development, belapectin, which has shown promise in preclinical and clinical studies for the treatment of liver fibrosis, severe skin disease, and cancer (melanoma and head and neck squamous cell carcinoma). Currently, we are focusing on development of belapectin for the treatment of MASH cirrhosis and head and neck cancer. Belapectin is a proprietary, patented compound derived from natural, plant-based, starting materials, which following chemical processing, exhibits the properties of binding to and inhibiting galectin-3.</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product pipeline is shown below:</w:t>
            </w:r>
          </w:p>
        </w:tc>
        <w:tc>
          <w:tcPr>
            <w:tcW w:w="10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Drug</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Prevention of esophageal varices</w:t>
            </w:r>
          </w:p>
        </w:tc>
        <w:tc>
          <w:tcPr>
            <w:tcW w:w="100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w:t>
            </w:r>
          </w:p>
        </w:tc>
        <w:tc>
          <w:tcPr>
            <w:tcW w:w="100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MASH cirrhosis</w:t>
            </w:r>
          </w:p>
        </w:tc>
        <w:tc>
          <w:tcPr>
            <w:tcW w:w="100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Phase 1 interaction trial:</w:t>
            </w:r>
          </w:p>
        </w:tc>
        <w:tc>
          <w:tcPr>
            <w:tcW w:w="10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belapectin</w:t>
            </w:r>
          </w:p>
        </w:tc>
        <w:tc>
          <w:tcPr>
            <w:tcW w:w="74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IND submitted January 2013. Results from the Phase 1 interaction trial were reported in 2014, 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NASH-CX trial and</w:t>
            </w:r>
          </w:p>
        </w:tc>
        <w:tc>
          <w:tcPr>
            <w:tcW w:w="1000" w:type="dxa"/>
            <w:vAlign w:val="bottom"/>
            <w:shd w:val="clear" w:color="auto" w:fill="CCEEFF"/>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final results reported in January 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NASH-FX trial</w:t>
            </w:r>
          </w:p>
        </w:tc>
        <w:tc>
          <w:tcPr>
            <w:tcW w:w="1000" w:type="dxa"/>
            <w:vAlign w:val="bottom"/>
            <w:shd w:val="clear" w:color="auto" w:fill="CCEEFF"/>
          </w:tcPr>
          <w:p>
            <w:pPr>
              <w:spacing w:after="0"/>
              <w:rPr>
                <w:sz w:val="20"/>
                <w:szCs w:val="20"/>
                <w:color w:val="auto"/>
              </w:rPr>
            </w:pPr>
          </w:p>
        </w:tc>
        <w:tc>
          <w:tcPr>
            <w:tcW w:w="74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Phase 2 NASH FX trial was conducted in patients with advanced fibrosis but not cirrhosis. Its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principal purpose was to evaluate various imaging modalities. The NASH FX trial top line data was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reported in September 2016 and published in Alimentary Pharmacology and Therapeutics in 2016.</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Phase 2 NASH CX trial was conducted in patients with compensated cirrhosis and portal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hypertension. The NASH CX trial top line data was reported in December 2017 and was published</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Gastroenterology</w:t>
            </w:r>
            <w:r>
              <w:rPr>
                <w:rFonts w:ascii="Times New Roman" w:cs="Times New Roman" w:eastAsia="Times New Roman" w:hAnsi="Times New Roman"/>
                <w:sz w:val="18"/>
                <w:szCs w:val="18"/>
                <w:color w:val="auto"/>
              </w:rPr>
              <w:t xml:space="preserve"> in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MASH NAVIGATE</w:t>
            </w:r>
          </w:p>
        </w:tc>
        <w:tc>
          <w:tcPr>
            <w:tcW w:w="1000" w:type="dxa"/>
            <w:vAlign w:val="bottom"/>
            <w:shd w:val="clear" w:color="auto" w:fill="CCEEFF"/>
          </w:tcPr>
          <w:p>
            <w:pPr>
              <w:spacing w:after="0"/>
              <w:rPr>
                <w:sz w:val="17"/>
                <w:szCs w:val="17"/>
                <w:color w:val="auto"/>
              </w:rPr>
            </w:pPr>
          </w:p>
        </w:tc>
        <w:tc>
          <w:tcPr>
            <w:tcW w:w="74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Following FDA feedback, the NAVIGATE trial was for the prevention of esophageal varices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MASH patients with compensated cirrhosis and clinical signs of portal hypertension. The final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patient was randomized in February 2023 and top-line results were presented in December 2024.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analysis from the trial has been presented in 2025 and continues.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Phase 1 study: hepatic insufficiency</w:t>
            </w:r>
          </w:p>
        </w:tc>
        <w:tc>
          <w:tcPr>
            <w:tcW w:w="1000" w:type="dxa"/>
            <w:vAlign w:val="bottom"/>
            <w:shd w:val="clear" w:color="auto" w:fill="CCEEFF"/>
          </w:tcPr>
          <w:p>
            <w:pPr>
              <w:spacing w:after="0"/>
              <w:rPr>
                <w:sz w:val="17"/>
                <w:szCs w:val="17"/>
                <w:color w:val="auto"/>
              </w:rPr>
            </w:pPr>
          </w:p>
        </w:tc>
        <w:tc>
          <w:tcPr>
            <w:tcW w:w="74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 hepatic impairment study was conducted in subjects with normal hepatic function and subjects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 varying degrees of hepatic impairment (www.clinicaltrials.gov NCT04332432) and began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enrolling patients in the second quarter of 2020. The study completed enrollment in February 2022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favorable results were presented in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Cancer Immunotherapy</w:t>
            </w:r>
          </w:p>
        </w:tc>
        <w:tc>
          <w:tcPr>
            <w:tcW w:w="100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Melanoma, Head, Neck Squamous</w:t>
            </w:r>
          </w:p>
        </w:tc>
        <w:tc>
          <w:tcPr>
            <w:tcW w:w="10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belapectin</w:t>
            </w:r>
          </w:p>
        </w:tc>
        <w:tc>
          <w:tcPr>
            <w:tcW w:w="74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Investigator IND study was completed. A Phase 1B study began in Q-1 2016. Early data was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Cell</w:t>
            </w:r>
          </w:p>
        </w:tc>
        <w:tc>
          <w:tcPr>
            <w:tcW w:w="1000" w:type="dxa"/>
            <w:vAlign w:val="bottom"/>
            <w:shd w:val="clear" w:color="auto" w:fill="CCEEFF"/>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reported in February 2017 and additional data were reported in September 2018. Data from 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Carcinoma (HNSCC)</w:t>
            </w:r>
          </w:p>
        </w:tc>
        <w:tc>
          <w:tcPr>
            <w:tcW w:w="1000" w:type="dxa"/>
            <w:vAlign w:val="bottom"/>
            <w:shd w:val="clear" w:color="auto" w:fill="CCEEFF"/>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extension trial was reported in July 2021 for additional melanoma and HNSCC patients which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provided a rational basis for additional trials which the Company is exploring. In the third quarter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2022, the Company announced its IND application for belapectin in combination with a checkpoint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inhibitor for the treatment of HNSCC was filed and a Study May Proceed letter was received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FDA. The Company is reviewing options for financing this trial which will determine when such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trial could commence.</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Liver cirrhosis. </w:t>
      </w:r>
      <w:r>
        <w:rPr>
          <w:rFonts w:ascii="Times New Roman" w:cs="Times New Roman" w:eastAsia="Times New Roman" w:hAnsi="Times New Roman"/>
          <w:sz w:val="18"/>
          <w:szCs w:val="18"/>
          <w:color w:val="auto"/>
        </w:rPr>
        <w:t>Belapectin is our lead product candidate for treatment of compensated MASH cirrhosis in patients with portal hypertension.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preclinical data show that belapectin has a significant therapeutic effect on liver fibrosis as shown in several relevant animal models. In addition, in MASH animal models, belapectin has been shown to reduce liver fat, inflammation, portal pressure, and ballooning degeneration (death of liver cells). Therefore, we chose belapectin as the lead candidate in a development program targeted initially at fibrotic liver disease associated with non-alcoholic steatohepatitis (MASH). In January 2013, an Investigational New Drug (“IND”) was submitted to the FDA with the goal of initiating a Phase 1 study in patients with MASH and advanced liver fibrosis to evaluate the safety of belapectin and pharmacodynamics biomarkers of disease. On March 1, 2013, the FDA indicated we could proceed with a US Phase 1 clinical trial for belapectin with a development program aimed at obtaining support for a proposed indication of belapectin for treatment of MASH with advanced fibrosis. The Phase 1 trial was completed and demonstrated that belapectin up to 8 mg/kg Lean Body Mass (LBM), i.v. was safe and well tolerated.</w:t>
      </w:r>
    </w:p>
    <w:p>
      <w:pPr>
        <w:spacing w:after="0" w:line="19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Additionally, an open label drug-drug phase 1 interaction study was completed in healthy volunteers during the second quarter of 2015 with belapectin and it showed that with 8 mg/kg LBM dose of belapectin and 2 mg/kg LBM dose of midazolam there was no drug-drug interaction, and no serious adverse events or drug-related adverse events were observed. The secondary objective was to assess the safety and tolerability of belapectin when administered concomitantly with midazolam.</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5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Phase 2 program in fibrotic disease consisted of two separate human clinical trials. The main clinical trial was the Phase 2b NASH-CX study for one year for patients with MASH with compensated cirrhosis and portal hypertension, which began enrolling patients in June 2015. This study was a randomized, placebo-controlled, double-blind, parallel-group Phase 2b trial to evaluate the safety and efficacy of belapectin for treatment of liver fibrosis and resultant portal hypertension in MASH patients with compensated cirrhosis. A smaller, exploratory NASH-FX trial was conducted to explore potential use of various non-invasive imaging techniques in MASH patients with advanced fibrosis but not cirrhosis.</w:t>
      </w:r>
    </w:p>
    <w:p>
      <w:pPr>
        <w:spacing w:after="0" w:line="179"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NASH-FX Trial: </w:t>
      </w:r>
      <w:r>
        <w:rPr>
          <w:rFonts w:ascii="Times New Roman" w:cs="Times New Roman" w:eastAsia="Times New Roman" w:hAnsi="Times New Roman"/>
          <w:sz w:val="18"/>
          <w:szCs w:val="18"/>
          <w:color w:val="auto"/>
        </w:rPr>
        <w:t>The NASH-FX trial was a Phase 2a pilot trial for patients with MASH and advanced fibrosis that explored use of three non-invasive imaging technologies. It was a short, single site, four-month trial in 30 MASH patients with advanced fibrosis (F3) randomized 1:1 to either 9 bi-weekly doses of 8 mg/kg LBM of belapectin or placebo. The trial did not meet its primary endpoint as measured using multi-parametric magnetic resonance imaging (LiverMultiScan</w:t>
      </w:r>
      <w:r>
        <w:rPr>
          <w:rFonts w:ascii="Times New Roman" w:cs="Times New Roman" w:eastAsia="Times New Roman" w:hAnsi="Times New Roman"/>
          <w:sz w:val="25"/>
          <w:szCs w:val="25"/>
          <w:color w:val="auto"/>
          <w:vertAlign w:val="superscript"/>
        </w:rPr>
        <w:t>(R)</w:t>
      </w:r>
      <w:r>
        <w:rPr>
          <w:rFonts w:ascii="Times New Roman" w:cs="Times New Roman" w:eastAsia="Times New Roman" w:hAnsi="Times New Roman"/>
          <w:sz w:val="18"/>
          <w:szCs w:val="18"/>
          <w:color w:val="auto"/>
        </w:rPr>
        <w:t>, Perspectum Diagnostics). The trial also did not meet secondary endpoints that measure liver stiffness as a surrogate for fibrosis using, magnetic resonance-elastography and FibroScan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score. With a four-month treatment period and a small number of patients per arm the study was not powered to demonstrate efficacy results in established advanced liver fibrosis. In the trial however, belapectin was found to be safe and well tolerated with no serious adverse events and showing evidence of a pharmacodynamic effect. These results provided support for further development in MASH.</w:t>
      </w:r>
    </w:p>
    <w:p>
      <w:pPr>
        <w:spacing w:after="0" w:line="200"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NASH-CX Trial: </w:t>
      </w:r>
      <w:r>
        <w:rPr>
          <w:rFonts w:ascii="Times New Roman" w:cs="Times New Roman" w:eastAsia="Times New Roman" w:hAnsi="Times New Roman"/>
          <w:sz w:val="18"/>
          <w:szCs w:val="18"/>
          <w:color w:val="auto"/>
        </w:rPr>
        <w:t>The NASH-CX trial was a larger multi-center clinical trial that explored the use of belapectin for the treatment of patients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well-compensated MASH cirrhosis and portal hypertension. Enrollment was completed in September 2016, and a total of 162 patients at 36 sites in the United States were randomized to receive either 2 mg/kg LBM of belapectin, 8 mg/kg LBM of belapectin or placebo. Approximately 50% of patients at baseline had esophageal varices (a complication of portal hypertension). The primary endpoint was a reduction in hepatic venous pressure gradient (HVPG), a hemodynamic measure that estimates portal hypertension. Patients received an infusion of belapectin or placebo every other week for one year and were evaluated to determine the change in HVPG as compared with placebo. Secondary or exploratory endpoints included evaluation of fibrosis on liver biopsy, measurement of liver stiffness (FibroScan) and assessment of liver metabolism (</w:t>
      </w:r>
      <w:r>
        <w:rPr>
          <w:rFonts w:ascii="Times New Roman" w:cs="Times New Roman" w:eastAsia="Times New Roman" w:hAnsi="Times New Roman"/>
          <w:sz w:val="25"/>
          <w:szCs w:val="25"/>
          <w:color w:val="auto"/>
          <w:vertAlign w:val="superscript"/>
        </w:rPr>
        <w:t>13</w:t>
      </w:r>
      <w:r>
        <w:rPr>
          <w:rFonts w:ascii="Times New Roman" w:cs="Times New Roman" w:eastAsia="Times New Roman" w:hAnsi="Times New Roman"/>
          <w:sz w:val="18"/>
          <w:szCs w:val="18"/>
          <w:color w:val="auto"/>
        </w:rPr>
        <w:t>C-methacetin breath test). Top line data readout was reported in December 2017. The study demonstrated a favorable safety profile and clinically meaningful efficacy results in patients without esophageal varices at baseline as demonstrated by a decrease in portal pressure associated with the prevention of development of varices when compared to placebo.</w:t>
      </w:r>
    </w:p>
    <w:p>
      <w:pPr>
        <w:spacing w:after="0" w:line="1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176"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In those MASH cirrhosis patients with portal hypertension who have not yet developed esophageal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Also because of the clinical relevance of this population, a responder analysis was performed on those patients without esophageal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Over the 54-week treatment period, in patients without varices at baseline there were also a statistically significantly fewer new varices that developed in the belapectin treatment groups (0% and 4% in the 2 mg/kg LBM and the 8 mg/kg LBM, respectively) vs placebo (18%). This meant that the decrease seen in portal pressure was associated with a decreased incidence of esophageal varices. The results were noticeable in the belapectin 2 mg/Kg LBM group as statistical significance against placebo was achieved for both parameters. As esophageal varices can lead to hemorrhagic complication, which can be fatal, and are a severe complication of liver cirrhosis, we believe the prevention of esophageal varices may represent a clinically relevant measure of clinical efficacy in patients with MASH cirrhosis.</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major conclusions from the NASH-CX trial results were that: (i) belapectin had a statistically significant and clinically meaningful effect in improving HVPG vs placebo in patients with MASH cirrhosis who did not have esophageal varices at baseline, (ii) Belapectin in the total patient population was associated with a statistically significant improvement in hepatocyte ballooning (i.e. cell death), (iii) There was a statistically significant reduction (p=0.02) in the development of new esophageal varices in drug-treated patients compared to placebo. We believe that the prevention of esophageal varices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This is the first large, randomized clinical trial to demonstrate a clinically meaningful improvement in portal hypertension in patients with compensated MASH cirrhosis who have not yet developed esophageal varices.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5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Further information and details on the NASH-CX results is available in public presentations posted to our website and filed with the SEC and in a peer reviewed publication in </w:t>
      </w:r>
      <w:r>
        <w:rPr>
          <w:rFonts w:ascii="Times New Roman" w:cs="Times New Roman" w:eastAsia="Times New Roman" w:hAnsi="Times New Roman"/>
          <w:sz w:val="18"/>
          <w:szCs w:val="18"/>
          <w:i w:val="1"/>
          <w:iCs w:val="1"/>
          <w:color w:val="auto"/>
        </w:rPr>
        <w:t>Gastroenterology</w:t>
      </w:r>
      <w:r>
        <w:rPr>
          <w:rFonts w:ascii="Times New Roman" w:cs="Times New Roman" w:eastAsia="Times New Roman" w:hAnsi="Times New Roman"/>
          <w:sz w:val="18"/>
          <w:szCs w:val="18"/>
          <w:color w:val="auto"/>
        </w:rPr>
        <w:t xml:space="preserve"> 2020;158:1334–1345.</w:t>
      </w:r>
    </w:p>
    <w:p>
      <w:pPr>
        <w:spacing w:after="0" w:line="15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MASH NAVIGATE Trial: </w:t>
      </w:r>
      <w:r>
        <w:rPr>
          <w:rFonts w:ascii="Times New Roman" w:cs="Times New Roman" w:eastAsia="Times New Roman" w:hAnsi="Times New Roman"/>
          <w:sz w:val="18"/>
          <w:szCs w:val="18"/>
          <w:color w:val="auto"/>
        </w:rPr>
        <w:t>Building on the experience of the NASH-CX trial, the NAVIGATE Trial was designed as a seamless adaptively-designed Phase 2b/3 clinical study evaluating the safety and efficacy of our galectin-3 inhibitor, belapectin, for the prevention of esophageal varices in patient with metabolic dysfunction-associated steatohepatitis (MASH, formerly known as nonalcoholic steatohepatitis, or MASH) with cirrhosis. The major features of this innovative Phase 2b/3 study design are: i) In patients with MASH cirrhosis and clinical signs of portal hypertension but without esophageal varices at baseline, evaluated by an esophago-gastro-duodeno endoscopy, this trial will assess the effect of belapectin on the incidence of new varices (the primary endpoint) – as well as assessing the effect of belapectin on the incidence of additional clinically significant cirrhosis-related outcomes (a key secondary efficacy endpoint), (ii) The study targets MASH patients with a clearly identified unmet medical need: patients with compensated cirrhosis who have clinical signs of portal hypertension and, thus, are at risk of developing esophageal varices, a potentially life-threatening complication of cirrhosis (bleeding varices are a cause of death in about one-third of cirrhotic patients). There is currently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w:t>
      </w:r>
    </w:p>
    <w:p>
      <w:pPr>
        <w:spacing w:after="0" w:line="194"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Based on feedback from the U.S. Food and Drug Administration (FDA), the Company has decided to analyze stage 1 of the NAVIGATE clinical trial results as a stand-alone trial. Therefore, a decision was made to present full top-line efficacy and safety results, following last patient last visit and database lock which occurred in fall 2024. In December 2024, we presented top-line results of the NAVIGATE clinical trial. In the intent-to-treat (ITT) population (N=355), while the incidence of varices was 43.2% reduced in the belapectin 2 mg/kg dose group vs placebo, the composite endpoint did not reach statistical significance. The per-protocol population (PPP) was pre-defined as subjects who completed 18 months of therapy with upper endoscopy performed at both baseline and 18 months. In the PPP (n=287), the incidence of varices was reduced by 49.3% (compared to the targeted 52.5% reduction) in the belapectin 2 mg/kg dose group (p-value &lt; 0.05). The Company further analyzed the two thirds of the completer patients in the NAVIGATE trial enrolled in the U.S. (n=186). The incidence of varices in this population was significantly reduced by 68.1% (p=0.02) in patients treated with belapectin 2 mg (4 out of 60) vs placebo (13 out of 62) in the U.S. While all three cohorts of patients in the U.S. had a higher percentage use of GLP-1 and statins than the rest of the world, the belapectin cohorts performed much better than placebo in the U.S. The Company continued to analyze trial data and reported additional information in 2025.</w:t>
      </w:r>
    </w:p>
    <w:p>
      <w:pPr>
        <w:spacing w:after="0" w:line="19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submitted a Type C meeting request in the first quarter of 2026. Subsequently, FDA granted an in-person Type C meeting to be held in the second quarter of 2026.</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in prior trials, the safety profile of belapectin remains highly encouraging with incidence of adverse events and serious adverse events comparable across the three cohorts. Rates of discontinuation, adverse events (AEs), and serious adverse events (SAEs) were comparable to placebo, with no drug-related SAEs reported in the NAVIGATE trial.</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the NAVIGATE trial, as proposed in the protocol, secondary endpoints include a composite clinical outcomes endpoint, including varices requiring treatment (development of large varices or varices with a red wale), decompensating events, all-cause mortality, MELD score increase, liver transplant. Also, MASH non-invasive biomarkers will be evaluated. To target a population at risk of developing esophageal varices, patient selection was based on clinical signs of portal hypertension, including, but not limited to, a low platelet count, an increased spleen size, an increased liver stiffness, and/or evidence of abdominal collaterals circulation.</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focus and goal of the therapeutic program is to stop the progression of and/or reverse portal hypertension and thereby prevent the development of varices, potentially one of the most life-threatening complications of cirrhosis. Based on the results of the NASH-CX trial and subject to confirmation in later stage clinical trials, we believe that this goal is achievable in a significant portion of the MASH cirrhosis patient population i.e. those MASH cirrhosis patients with clinical signs of portal hypertension for whom, currently, apart from a liver transplantation, no specific liver targeted, treatments are available.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50"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Further details on the NAVIGATE trial can be found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under study NCT04365868 and on our NAVIGATE website (navigatenash.com). The information contained therein is not incorporated herein by reference.</w:t>
      </w:r>
    </w:p>
    <w:p>
      <w:pPr>
        <w:spacing w:after="0" w:line="162"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The Company also has completed a Hepatic Impairment Study, which ran in parallel with the phase 2b/3 trial as part of the development program. The Hepatic Impairment Study was conducted at three sites and involved approximately 40 patients (divided amongst normal healthy volunteers, and patients with hepatic impairment categorized as Child-Turcotte-Pugh (CTP) classes A (mild), B (moderate), and C (severe). Each subject received a single infusion of belapectin (4 mg/kg LBM) and their serum belapectin levels were monitored for up to approximately two weeks to define the effects of various stages of cirrhosis on serum belapectin levels. The tolerance and safety of belapectin was evaluated. Enrollment in this study was completed in February 2022, and the final results were presented the T</w:t>
      </w:r>
      <w:r>
        <w:rPr>
          <w:rFonts w:ascii="Times New Roman" w:cs="Times New Roman" w:eastAsia="Times New Roman" w:hAnsi="Times New Roman"/>
          <w:sz w:val="17"/>
          <w:szCs w:val="17"/>
          <w:color w:val="333333"/>
        </w:rPr>
        <w:t>he Liver Meeting™ 2023, hosted by the American Association for the Study of Liver Diseases. The data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333333"/>
        </w:rPr>
        <w:t>indicated that belapectin exposure did not increase with the degree of hepatic insufficiency, a property that is consistent with the observed distribution of the drug into activated macrophages.</w:t>
      </w:r>
      <w:r>
        <w:rPr>
          <w:rFonts w:ascii="Times New Roman" w:cs="Times New Roman" w:eastAsia="Times New Roman" w:hAnsi="Times New Roman"/>
          <w:sz w:val="17"/>
          <w:szCs w:val="17"/>
          <w:color w:val="000000"/>
        </w:rPr>
        <w:t>Further details on this hepatic impairment study can be found on</w:t>
      </w:r>
      <w:r>
        <w:rPr>
          <w:rFonts w:ascii="Times New Roman" w:cs="Times New Roman" w:eastAsia="Times New Roman" w:hAnsi="Times New Roman"/>
          <w:sz w:val="17"/>
          <w:szCs w:val="17"/>
          <w:color w:val="333333"/>
        </w:rPr>
        <w:t xml:space="preserve"> </w:t>
      </w:r>
      <w:r>
        <w:rPr>
          <w:rFonts w:ascii="Times New Roman" w:cs="Times New Roman" w:eastAsia="Times New Roman" w:hAnsi="Times New Roman"/>
          <w:sz w:val="17"/>
          <w:szCs w:val="17"/>
          <w:u w:val="single" w:color="auto"/>
          <w:color w:val="000000"/>
        </w:rPr>
        <w:t>www.clinicaltrials.gov</w:t>
      </w:r>
      <w:r>
        <w:rPr>
          <w:rFonts w:ascii="Times New Roman" w:cs="Times New Roman" w:eastAsia="Times New Roman" w:hAnsi="Times New Roman"/>
          <w:sz w:val="17"/>
          <w:szCs w:val="17"/>
          <w:color w:val="333333"/>
        </w:rPr>
        <w:t xml:space="preserve"> </w:t>
      </w:r>
      <w:r>
        <w:rPr>
          <w:rFonts w:ascii="Times New Roman" w:cs="Times New Roman" w:eastAsia="Times New Roman" w:hAnsi="Times New Roman"/>
          <w:sz w:val="17"/>
          <w:szCs w:val="17"/>
          <w:color w:val="000000"/>
        </w:rPr>
        <w:t>study NCT04332432.</w:t>
      </w:r>
    </w:p>
    <w:p>
      <w:pPr>
        <w:spacing w:after="0" w:line="170"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Cancer Immunotherapy. </w:t>
      </w:r>
      <w:r>
        <w:rPr>
          <w:rFonts w:ascii="Times New Roman" w:cs="Times New Roman" w:eastAsia="Times New Roman" w:hAnsi="Times New Roman"/>
          <w:sz w:val="18"/>
          <w:szCs w:val="18"/>
          <w:color w:val="auto"/>
        </w:rPr>
        <w:t>We believe there is potential for galectin inhibition to play a key role in the innovative area of cancer immunotherapy.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there have been several recent approvals of drugs that enhance a patient’s immune system to fight cancer. It is our goal to use ourgalectin-3 inhibitor to further enhance the immune system function to help the body to fight cancer in a way that complements other approaches to this type of therapy. This hypothesis is supported by the fact that galectin-3 is expressed at high levels in multiple types of tumors and their micro-environment, where it fosters the malignant nature of the tumors, and protects the tumors from immune attack by the patient’s own defense mechanism.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Phase 1B studies of belapectin in combination with Yervoy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(ipilimumab) in metastatic melanoma and another phase 1B study in combination with KEYTRUDA (pembrolizumab) in patients with metastatic melanoma and head and neck squamous cell carcinoma. These studies were conducted under the sponsorship of Providence Portland Medical Center’s Earle A. Chiles Research Institute (EACRI).</w:t>
      </w:r>
    </w:p>
    <w:p>
      <w:pPr>
        <w:spacing w:after="0" w:line="19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phase IB study in combination with Yervoy was rapidly discontinued after the first patients were recruited because of the availability of new treatment in the selected population.</w:t>
      </w:r>
    </w:p>
    <w:p>
      <w:pPr>
        <w:spacing w:after="0" w:line="16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Promising results were reported in the Phase 1b trial combining belapectin with pembrolizumab (KEYTRUDA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When aggregated cohorts are combined, in advanced melanoma, a 50% objective response rate with belapectin in combination with KEYTRUDA, was documented. In addition, a 33% response rate was documented in patients with head and neck cancer. The results have been published in 2021 in a highly rated peer reviewed journal (Curti et al. Journal of Immunotherapy of cancer 2021;9:e002371). There was also a suggestion that the combination of belapectin with pembrolizumab could decrease the auto-immune side-effect induced by pembrolizumab. These side-effects, which are directly linked to the mechanism of action of pembrolizumab, can be poorly tolerated and even severe enough to lead to treatment interruption, even if the effect on the cancer was encouraging. This is, a very frustrating situation for patients who have to discontinue an active treatment but have no other options available to them. We believe these data, taken together with the observed favorable safety and tolerability of the combination, provide a rationale to move the belapectin program in oncology forward.</w:t>
      </w:r>
    </w:p>
    <w:p>
      <w:pPr>
        <w:spacing w:after="0" w:line="19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Late in 2021, we engaged three noted physicians – Dr. Chetan Bettegowda, from Johns Hopkins, and Dr. Nishant Agrawal and Dr. Ari Rosenberg, both from University of Chicago Medical Center – as consultants to help define the path forward in oncology. In consultation with our oncology experts, we have now selected the treatment of recurrent or metastatic head and neck cancer as the lead indication to pursue for belapectin in combination with an immune checkpoint inhibitor. The decision is notably based on the lack of available treatments for these patients, the limited number of therapies in development, and the resulting very high medical need. We filed an IND with FDA and are planning a phase 2 trial to be filed with the FDA oncology division.</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ind w:left="480"/>
              <w:spacing w:after="0"/>
              <w:rPr>
                <w:sz w:val="20"/>
                <w:szCs w:val="20"/>
                <w:color w:val="auto"/>
              </w:rPr>
            </w:pPr>
            <w:r>
              <w:rPr>
                <w:rFonts w:ascii="Times New Roman" w:cs="Times New Roman" w:eastAsia="Times New Roman" w:hAnsi="Times New Roman"/>
                <w:sz w:val="18"/>
                <w:szCs w:val="18"/>
                <w:color w:val="auto"/>
              </w:rPr>
              <w:t>Three Months</w:t>
            </w:r>
          </w:p>
        </w:tc>
        <w:tc>
          <w:tcPr>
            <w:tcW w:w="140" w:type="dxa"/>
            <w:vAlign w:val="bottom"/>
          </w:tcPr>
          <w:p>
            <w:pPr>
              <w:spacing w:after="0"/>
              <w:rPr>
                <w:sz w:val="24"/>
                <w:szCs w:val="24"/>
                <w:color w:val="auto"/>
              </w:rPr>
            </w:pPr>
          </w:p>
        </w:tc>
        <w:tc>
          <w:tcPr>
            <w:tcW w:w="25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2026 as Compared to 2025</w:t>
            </w:r>
          </w:p>
        </w:tc>
      </w:tr>
      <w:tr>
        <w:trPr>
          <w:trHeight w:val="439"/>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Ended March 31,</w:t>
            </w:r>
          </w:p>
        </w:tc>
        <w:tc>
          <w:tcPr>
            <w:tcW w:w="140" w:type="dxa"/>
            <w:vAlign w:val="bottom"/>
          </w:tcPr>
          <w:p>
            <w:pPr>
              <w:spacing w:after="0"/>
              <w:rPr>
                <w:sz w:val="24"/>
                <w:szCs w:val="24"/>
                <w:color w:val="auto"/>
              </w:rPr>
            </w:pPr>
          </w:p>
        </w:tc>
        <w:tc>
          <w:tcPr>
            <w:tcW w:w="25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Three Months</w:t>
            </w:r>
          </w:p>
        </w:tc>
      </w:tr>
      <w:tr>
        <w:trPr>
          <w:trHeight w:val="223"/>
        </w:trPr>
        <w:tc>
          <w:tcPr>
            <w:tcW w:w="5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19"/>
                <w:szCs w:val="19"/>
                <w:color w:val="auto"/>
              </w:rPr>
            </w:pPr>
          </w:p>
        </w:tc>
      </w:tr>
      <w:tr>
        <w:trPr>
          <w:trHeight w:val="203"/>
        </w:trPr>
        <w:tc>
          <w:tcPr>
            <w:tcW w:w="5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w w:val="86"/>
              </w:rPr>
              <w:t>(In thousands,</w:t>
            </w:r>
          </w:p>
        </w:tc>
        <w:tc>
          <w:tcPr>
            <w:tcW w:w="110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except %)</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2,231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(4,254)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bl>
    <w:p>
      <w:pPr>
        <w:spacing w:after="0" w:line="198"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Our research and development expenses were as follows: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color w:val="auto"/>
                <w:w w:val="98"/>
              </w:rPr>
              <w:t>Three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Ended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March 31,</w:t>
            </w: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 external expenses:</w:t>
            </w:r>
          </w:p>
        </w:tc>
        <w:tc>
          <w:tcPr>
            <w:tcW w:w="260" w:type="dxa"/>
            <w:vAlign w:val="bottom"/>
          </w:tcPr>
          <w:p>
            <w:pPr>
              <w:spacing w:after="0"/>
              <w:rPr>
                <w:sz w:val="20"/>
                <w:szCs w:val="20"/>
                <w:color w:val="auto"/>
              </w:rPr>
            </w:pPr>
          </w:p>
        </w:tc>
        <w:tc>
          <w:tcPr>
            <w:tcW w:w="230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activities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Pre-clinical activities</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3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research and development expenses</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1,290</w:t>
            </w:r>
          </w:p>
        </w:tc>
        <w:tc>
          <w:tcPr>
            <w:tcW w:w="3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2,231</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6,485</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Clinical activities decreased primarily due to timing of incurrence of expenditures related to our NAVIGATE clinical trial which ended in the first quarter of 2025. Pre-clinical activities decreased due to decrease in work on those areas. All other research and development expenses decreased primarily due to fewer employees in 2026 than 2025.</w:t>
      </w:r>
    </w:p>
    <w:p>
      <w:pPr>
        <w:spacing w:after="0" w:line="17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6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Three Months</w:t>
            </w:r>
          </w:p>
        </w:tc>
        <w:tc>
          <w:tcPr>
            <w:tcW w:w="160" w:type="dxa"/>
            <w:vAlign w:val="bottom"/>
          </w:tcPr>
          <w:p>
            <w:pPr>
              <w:spacing w:after="0"/>
              <w:rPr>
                <w:sz w:val="24"/>
                <w:szCs w:val="24"/>
                <w:color w:val="auto"/>
              </w:rPr>
            </w:pPr>
          </w:p>
        </w:tc>
        <w:tc>
          <w:tcPr>
            <w:tcW w:w="24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2026 as Compared to 2025</w:t>
            </w:r>
          </w:p>
        </w:tc>
      </w:tr>
      <w:tr>
        <w:trPr>
          <w:trHeight w:val="439"/>
        </w:trPr>
        <w:tc>
          <w:tcPr>
            <w:tcW w:w="3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Ended March 31,</w:t>
            </w:r>
          </w:p>
        </w:tc>
        <w:tc>
          <w:tcPr>
            <w:tcW w:w="160" w:type="dxa"/>
            <w:vAlign w:val="bottom"/>
          </w:tcPr>
          <w:p>
            <w:pPr>
              <w:spacing w:after="0"/>
              <w:rPr>
                <w:sz w:val="24"/>
                <w:szCs w:val="24"/>
                <w:color w:val="auto"/>
              </w:rPr>
            </w:pPr>
          </w:p>
        </w:tc>
        <w:tc>
          <w:tcPr>
            <w:tcW w:w="24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8"/>
              </w:rPr>
              <w:t>Three Months</w:t>
            </w:r>
          </w:p>
        </w:tc>
      </w:tr>
      <w:tr>
        <w:trPr>
          <w:trHeight w:val="223"/>
        </w:trPr>
        <w:tc>
          <w:tcPr>
            <w:tcW w:w="3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Change</w:t>
            </w:r>
          </w:p>
        </w:tc>
        <w:tc>
          <w:tcPr>
            <w:tcW w:w="160" w:type="dxa"/>
            <w:vAlign w:val="bottom"/>
            <w:tcBorders>
              <w:bottom w:val="single" w:sz="8" w:color="auto"/>
            </w:tcBorders>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(In thousands, except %)</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1,846</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434</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w:t>
            </w:r>
          </w:p>
        </w:tc>
      </w:tr>
    </w:tbl>
    <w:p>
      <w:pPr>
        <w:spacing w:after="0" w:line="19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increase in general and administrative expenses for the three-months ended March 31, 2026 as compared to the same period in 2025 is due to increases in non-cash stock based compensation expenses of approximately $302,000.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Since our inception on July 10, 2000, we have financed our operations from proceeds of public and private offerings of debt and equity. As of March 31, 2026, we raised a net total of $341 million from these offerings. At March 31, 2026, the Company had $14.1 million of unrestricted cash and cash equivalents in addition to $10 million remaining available under two lines of credit provided by our chairman available to fund future operations. The Company believes there is sufficient cash to fund currently planned operations through May 2027. We will require more cash to fund our operations after May 2027. There can be no assurance that we will be successful in obtaining such new financing or, if available, that such financing will be on terms favorable to us.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operations decreased by $3,823,000 to $3,866,000 for the three months ended March 31, 2026, as compared to $7,689,000 for the three months ended March 31, 2025. Cash operating expenses decreased principally due to the completion of our NAVIGATE clinical trial with belapectin in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 and Estimates</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83"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2025 Annual Report on Form 10-K.</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March 31, 2026, our disclosure controls and procedures were not effective due to the material weakness in internal control over financial reporting described below.</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December 31, 2025, we identified a material weakness in our internal control over financial reporting. Specifically, we did not implement and maintain effective controls related to the valuation of derivative liabilities associated with contingent interest on convertible notes payable, specifically controls over the review of interest forecasts used in the valuation of the derivative liabilities due to the extension of the maturity dates of the convertible notes payable. This material weakness creates a reasonable possibility that a material misstatement in our consolidated financial statements would not be prevented or detected on a timely basis.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an effort to address the identified material weakness and enhance our internal controls related to our valuation of derivative liabilities process, we continue to maintain our financial reporting process we followed to prepare consolidated financial statements in accordance with GAAP for audit committee meetings on a quarterly and annual basis. We expect to remedy this material weakness by conducting additional training, using additional third-party consultants with appropriate knowledge, experience, and/or training commensurate with our technical accounting and financial reporting requirements to enhance the process going forward, a combination thereof, or any other remedial measures that we deem appropriate. Our ongoing remediation efforts are focused on additional reviews in the event of any future potential changes to financial instruments associated with derivatives related to internal control over financial reporting.</w:t>
      </w:r>
    </w:p>
    <w:p>
      <w:pPr>
        <w:spacing w:after="0" w:line="18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 our management has concluded that the consolidated financial statements included in this Quarterly Report on Form 10-Q fairly present, in all material respects, our financial position, results of operations, and cash flows for the periods presented in conformity with U.S. generally accepted accounting principles.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Other than the ongoing remediation efforts related to the material weakness described above, there were no changes in our internal control over financial reporting during the quarter ended March 31, 2026 that have materially affected, or are reasonably likely to materially affect, our internal control over financial reporting.</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340" w:firstLine="648"/>
        <w:spacing w:after="0" w:line="312" w:lineRule="auto"/>
        <w:rPr>
          <w:sz w:val="20"/>
          <w:szCs w:val="20"/>
          <w:color w:val="auto"/>
        </w:rPr>
      </w:pPr>
      <w:r>
        <w:rPr>
          <w:rFonts w:ascii="Times New Roman" w:cs="Times New Roman" w:eastAsia="Times New Roman" w:hAnsi="Times New Roman"/>
          <w:sz w:val="17"/>
          <w:szCs w:val="17"/>
          <w:color w:val="auto"/>
        </w:rPr>
        <w:t>The information set forth in this report should be read in conjunction with the risk factors set forth in Item 1A, “Risk Factors,” of Part I of our Annual Report on Form 10-K for the year ended December 31, 2025, which could materially impact our business, financial condition or future results.</w:t>
      </w:r>
    </w:p>
    <w:p>
      <w:pPr>
        <w:spacing w:after="0" w:line="13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Trading Plans of Directors and Executive Officers</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Our three executive officers, as defined in Rule 16a-1(f), each adopted a “Rule 10b5-1 trading arrangement” as defined in Regulation S-K Item 408, during the fiscal quarter ended March 31, 2026.</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ectPr>
          <w:pgSz w:w="11900" w:h="16838" w:orient="portrait"/>
          <w:cols w:equalWidth="0" w:num="1">
            <w:col w:w="11200"/>
          </w:cols>
          <w:pgMar w:left="320" w:top="115" w:right="379" w:bottom="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10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r>
      <w:tr>
        <w:trPr>
          <w:trHeight w:val="245"/>
        </w:trPr>
        <w:tc>
          <w:tcPr>
            <w:tcW w:w="10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080" w:type="dxa"/>
            <w:vAlign w:val="bottom"/>
            <w:gridSpan w:val="2"/>
          </w:tcPr>
          <w:p>
            <w:pPr>
              <w:ind w:left="35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r>
      <w:tr>
        <w:trPr>
          <w:trHeight w:val="216"/>
        </w:trPr>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196"/>
        </w:trPr>
        <w:tc>
          <w:tcPr>
            <w:tcW w:w="4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3"/>
              </w:rPr>
              <w:t>31.</w:t>
            </w:r>
            <w:r>
              <w:rPr>
                <w:rFonts w:ascii="Times New Roman" w:cs="Times New Roman" w:eastAsia="Times New Roman" w:hAnsi="Times New Roman"/>
                <w:sz w:val="18"/>
                <w:szCs w:val="18"/>
                <w:u w:val="single" w:color="auto"/>
                <w:color w:val="0000EE"/>
                <w:w w:val="93"/>
              </w:rPr>
              <w:t>1*</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Pursuant to Rule 13a-14(a) of the Securities Exchange Act of 1934</w:t>
            </w:r>
          </w:p>
        </w:tc>
        <w:tc>
          <w:tcPr>
            <w:tcW w:w="112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4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3"/>
              </w:rPr>
              <w:t>31.</w:t>
            </w:r>
            <w:r>
              <w:rPr>
                <w:rFonts w:ascii="Times New Roman" w:cs="Times New Roman" w:eastAsia="Times New Roman" w:hAnsi="Times New Roman"/>
                <w:sz w:val="18"/>
                <w:szCs w:val="18"/>
                <w:u w:val="single" w:color="auto"/>
                <w:color w:val="0000EE"/>
                <w:w w:val="93"/>
              </w:rPr>
              <w:t>2*</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Pursuant to Rule 13a-14(a) of the Securities Exchange Act of 1934</w:t>
            </w:r>
          </w:p>
        </w:tc>
        <w:tc>
          <w:tcPr>
            <w:tcW w:w="112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20" w:type="dxa"/>
            <w:vAlign w:val="bottom"/>
            <w:shd w:val="clear" w:color="auto" w:fill="CCEEFF"/>
          </w:tcPr>
          <w:p>
            <w:pPr>
              <w:spacing w:after="0"/>
              <w:rPr>
                <w:sz w:val="17"/>
                <w:szCs w:val="17"/>
                <w:color w:val="auto"/>
              </w:rPr>
            </w:pPr>
          </w:p>
        </w:tc>
        <w:tc>
          <w:tcPr>
            <w:tcW w:w="9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c>
          <w:tcPr>
            <w:tcW w:w="112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120" w:type="dxa"/>
            <w:vAlign w:val="bottom"/>
            <w:shd w:val="clear" w:color="auto" w:fill="CCEEFF"/>
          </w:tcPr>
          <w:p>
            <w:pPr>
              <w:spacing w:after="0"/>
              <w:rPr>
                <w:sz w:val="17"/>
                <w:szCs w:val="17"/>
                <w:color w:val="auto"/>
              </w:rPr>
            </w:pPr>
          </w:p>
        </w:tc>
        <w:tc>
          <w:tcPr>
            <w:tcW w:w="9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c>
          <w:tcPr>
            <w:tcW w:w="112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8"/>
        </w:trPr>
        <w:tc>
          <w:tcPr>
            <w:tcW w:w="1040" w:type="dxa"/>
            <w:vAlign w:val="bottom"/>
            <w:gridSpan w:val="5"/>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9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w:t>
            </w:r>
          </w:p>
        </w:tc>
        <w:tc>
          <w:tcPr>
            <w:tcW w:w="1120" w:type="dxa"/>
            <w:vAlign w:val="bottom"/>
            <w:shd w:val="clear" w:color="auto" w:fill="CCEEFF"/>
          </w:tcPr>
          <w:p>
            <w:pPr>
              <w:spacing w:after="0"/>
              <w:rPr>
                <w:sz w:val="17"/>
                <w:szCs w:val="17"/>
                <w:color w:val="auto"/>
              </w:rPr>
            </w:pPr>
          </w:p>
        </w:tc>
      </w:tr>
      <w:tr>
        <w:trPr>
          <w:trHeight w:val="234"/>
        </w:trPr>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120" w:type="dxa"/>
            <w:vAlign w:val="bottom"/>
            <w:shd w:val="clear" w:color="auto" w:fill="CCEEFF"/>
          </w:tcPr>
          <w:p>
            <w:pPr>
              <w:spacing w:after="0"/>
              <w:rPr>
                <w:sz w:val="20"/>
                <w:szCs w:val="20"/>
                <w:color w:val="auto"/>
              </w:rPr>
            </w:pPr>
          </w:p>
        </w:tc>
      </w:tr>
      <w:tr>
        <w:trPr>
          <w:trHeight w:val="63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tcPr>
          <w:p>
            <w:pPr>
              <w:ind w:left="452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7"/>
        </w:trPr>
        <w:tc>
          <w:tcPr>
            <w:tcW w:w="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8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71"/>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r>
      <w:tr>
        <w:trPr>
          <w:trHeight w:val="245"/>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080" w:type="dxa"/>
            <w:vAlign w:val="bottom"/>
            <w:gridSpan w:val="2"/>
          </w:tcPr>
          <w:p>
            <w:pPr>
              <w:ind w:left="35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r>
      <w:tr>
        <w:trPr>
          <w:trHeight w:val="216"/>
        </w:trPr>
        <w:tc>
          <w:tcPr>
            <w:tcW w:w="9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Borders>
              <w:top w:val="single" w:sz="8" w:color="CCEEFF"/>
            </w:tcBorders>
            <w:shd w:val="clear" w:color="auto" w:fill="CCEEFF"/>
          </w:tcPr>
          <w:p>
            <w:pPr>
              <w:spacing w:after="0"/>
              <w:rPr>
                <w:sz w:val="18"/>
                <w:szCs w:val="18"/>
                <w:color w:val="auto"/>
              </w:rPr>
            </w:pPr>
          </w:p>
        </w:tc>
        <w:tc>
          <w:tcPr>
            <w:tcW w:w="8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112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12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112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112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9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7"/>
                <w:szCs w:val="17"/>
                <w:color w:val="auto"/>
              </w:rPr>
            </w:pPr>
          </w:p>
        </w:tc>
        <w:tc>
          <w:tcPr>
            <w:tcW w:w="9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 document and included in</w:t>
            </w:r>
          </w:p>
        </w:tc>
        <w:tc>
          <w:tcPr>
            <w:tcW w:w="1120" w:type="dxa"/>
            <w:vAlign w:val="bottom"/>
            <w:shd w:val="clear" w:color="auto" w:fill="CCEEFF"/>
          </w:tcPr>
          <w:p>
            <w:pPr>
              <w:spacing w:after="0"/>
              <w:rPr>
                <w:sz w:val="17"/>
                <w:szCs w:val="17"/>
                <w:color w:val="auto"/>
              </w:rPr>
            </w:pPr>
          </w:p>
        </w:tc>
      </w:tr>
      <w:tr>
        <w:trPr>
          <w:trHeight w:val="234"/>
        </w:trPr>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12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274320</wp:posOffset>
            </wp:positionV>
            <wp:extent cx="7200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 and not “filed” for purposes of Section 18 of the Securities Exchange Act of 1934, as amended.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May 15, 2026.</w:t>
      </w:r>
    </w:p>
    <w:p>
      <w:pPr>
        <w:spacing w:after="0" w:line="18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GALECTIN THERAPEUTICS INC.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Joel Lewis</w:t>
            </w:r>
          </w:p>
        </w:tc>
      </w:tr>
      <w:tr>
        <w:trPr>
          <w:trHeight w:val="198"/>
        </w:trPr>
        <w:tc>
          <w:tcPr>
            <w:tcW w:w="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Joel Lewis</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54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Jack W. Callicutt</w:t>
            </w:r>
          </w:p>
        </w:tc>
      </w:tr>
      <w:tr>
        <w:trPr>
          <w:trHeight w:val="198"/>
        </w:trPr>
        <w:tc>
          <w:tcPr>
            <w:tcW w:w="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Jack W. Callicutt</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4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Lewis, certify that:</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Galectin Therapeutics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140" w:hanging="484"/>
        <w:spacing w:after="0" w:line="282" w:lineRule="auto"/>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620" w:hanging="484"/>
        <w:spacing w:after="0" w:line="282" w:lineRule="auto"/>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484"/>
        <w:spacing w:after="0" w:line="282" w:lineRule="auto"/>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7"/>
          <w:szCs w:val="17"/>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Joel Lewis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 W. Callicutt, certify that:</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Galectin Therapeutics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140" w:hanging="484"/>
        <w:spacing w:after="0" w:line="282"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620" w:hanging="484"/>
        <w:spacing w:after="0" w:line="282"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484"/>
        <w:spacing w:after="0" w:line="282"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7"/>
          <w:szCs w:val="17"/>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Jack W. Callicutt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Galectin Therapeutics Inc. (the “Company”) on Form 10-Q for the period ended March 31, 2026 as filed with the Securities and Exchange Commission on the date hereof (the “Report”), I, Joel Lewis, Chief Executive Officer of the Company, certify, pursuant to 18 U.S.C. § 1350, as adopted pursuant to § 906 of the Sarbanes- Oxley Act of 2002, that, to my knowledge:</w:t>
      </w:r>
    </w:p>
    <w:p>
      <w:pPr>
        <w:spacing w:after="0" w:line="176" w:lineRule="exact"/>
        <w:rPr>
          <w:sz w:val="20"/>
          <w:szCs w:val="20"/>
          <w:color w:val="auto"/>
        </w:rPr>
      </w:pPr>
    </w:p>
    <w:p>
      <w:pPr>
        <w:ind w:left="820" w:hanging="448"/>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20" w:right="760" w:hanging="448"/>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7"/>
          <w:szCs w:val="17"/>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Joel Lewis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Galectin Therapeutics Inc. (the “Company”) on Form 10-Q for the period ended March 31, 2026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176" w:lineRule="exact"/>
        <w:rPr>
          <w:sz w:val="20"/>
          <w:szCs w:val="20"/>
          <w:color w:val="auto"/>
        </w:rPr>
      </w:pPr>
    </w:p>
    <w:p>
      <w:pPr>
        <w:ind w:left="820" w:hanging="448"/>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20" w:right="760" w:hanging="448"/>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7"/>
          <w:szCs w:val="17"/>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Jack W. Callicutt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2026-05-15T06:49:17Z</dcterms:created>
  <dcterms:modified xsi:type="dcterms:W3CDTF">2026-05-15T06:49:17Z</dcterms:modified>
</cp:coreProperties>
</file>