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201295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233680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ind w:left="3920" w:right="3920" w:hanging="3912"/>
        <w:spacing w:after="0" w:line="260" w:lineRule="auto"/>
        <w:tabs>
          <w:tab w:leader="none" w:pos="4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 w:lineRule="exact"/>
        <w:rPr>
          <w:sz w:val="24"/>
          <w:szCs w:val="24"/>
          <w:color w:val="auto"/>
        </w:rPr>
      </w:pPr>
    </w:p>
    <w:p>
      <w:pPr>
        <w:ind w:left="39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3991610</wp:posOffset>
            </wp:positionH>
            <wp:positionV relativeFrom="paragraph">
              <wp:posOffset>-20320</wp:posOffset>
            </wp:positionV>
            <wp:extent cx="66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211455</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241300</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04-3562325</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w:t>
            </w:r>
          </w:p>
        </w:tc>
        <w:tc>
          <w:tcPr>
            <w:tcW w:w="384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437"/>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4960 Peachtree Industrial Blvd., Suite 240, Norcross, GA</w:t>
            </w:r>
          </w:p>
        </w:tc>
        <w:tc>
          <w:tcPr>
            <w:tcW w:w="38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30071</w:t>
            </w:r>
          </w:p>
        </w:tc>
      </w:tr>
      <w:tr>
        <w:trPr>
          <w:trHeight w:val="238"/>
        </w:trPr>
        <w:tc>
          <w:tcPr>
            <w:tcW w:w="544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84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620-3186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GALT</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194310</wp:posOffset>
            </wp:positionV>
            <wp:extent cx="10629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1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0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ectPr>
          <w:pgSz w:w="11900" w:h="16838" w:orient="portrait"/>
          <w:cols w:equalWidth="0" w:num="1">
            <w:col w:w="11240"/>
          </w:cols>
          <w:pgMar w:left="320" w:top="394" w:right="339" w:bottom="0" w:gutter="0" w:footer="0" w:header="0"/>
        </w:sectPr>
      </w:pPr>
    </w:p>
    <w:bookmarkStart w:id="1" w:name="page2"/>
    <w:bookmarkEnd w:id="1"/>
    <w:p>
      <w:pPr>
        <w:ind w:firstLine="648"/>
        <w:spacing w:after="0" w:line="240"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129" w:lineRule="exact"/>
        <w:rPr>
          <w:sz w:val="20"/>
          <w:szCs w:val="20"/>
          <w:color w:val="auto"/>
        </w:rPr>
      </w:pPr>
    </w:p>
    <w:p>
      <w:pPr>
        <w:ind w:left="66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231"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sold, or the average bid and asked price of such common equity, as of June 30, 2025 was approximately $109 million.</w:t>
      </w:r>
    </w:p>
    <w:p>
      <w:pPr>
        <w:spacing w:after="0" w:line="3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2, 2026 was 65,827,448.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60" w:type="dxa"/>
            <w:vAlign w:val="bottom"/>
            <w:gridSpan w:val="8"/>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r>
      <w:tr>
        <w:trPr>
          <w:trHeight w:val="238"/>
        </w:trPr>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40" w:type="dxa"/>
            <w:vAlign w:val="bottom"/>
            <w:gridSpan w:val="10"/>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r>
      <w:tr>
        <w:trPr>
          <w:trHeight w:val="715"/>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PART 1</w:t>
            </w:r>
          </w:p>
        </w:tc>
        <w:tc>
          <w:tcPr>
            <w:tcW w:w="52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Business</w:t>
            </w: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r>
      <w:tr>
        <w:trPr>
          <w:trHeight w:val="20"/>
        </w:trPr>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IC</w:t>
            </w:r>
          </w:p>
        </w:tc>
        <w:tc>
          <w:tcPr>
            <w:tcW w:w="10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6"/>
          </w:tcPr>
          <w:p>
            <w:pPr>
              <w:spacing w:after="0"/>
              <w:rPr>
                <w:sz w:val="19"/>
                <w:szCs w:val="19"/>
                <w:color w:val="auto"/>
              </w:rPr>
            </w:pPr>
          </w:p>
        </w:tc>
        <w:tc>
          <w:tcPr>
            <w:tcW w:w="6040" w:type="dxa"/>
            <w:vAlign w:val="bottom"/>
            <w:gridSpan w:val="10"/>
          </w:tcPr>
          <w:p>
            <w:pPr>
              <w:spacing w:after="0"/>
              <w:rPr>
                <w:sz w:val="19"/>
                <w:szCs w:val="19"/>
                <w:color w:val="auto"/>
              </w:rPr>
            </w:pPr>
          </w:p>
        </w:tc>
      </w:tr>
      <w:tr>
        <w:trPr>
          <w:trHeight w:val="46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7340" w:type="dxa"/>
            <w:vAlign w:val="bottom"/>
            <w:gridSpan w:val="19"/>
          </w:tcPr>
          <w:p>
            <w:pPr>
              <w:spacing w:after="0"/>
              <w:rPr>
                <w:sz w:val="24"/>
                <w:szCs w:val="24"/>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740" w:type="dxa"/>
            <w:vAlign w:val="bottom"/>
            <w:gridSpan w:val="14"/>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Mine Safety Disclosure</w:t>
            </w:r>
          </w:p>
        </w:tc>
      </w:tr>
      <w:tr>
        <w:trPr>
          <w:trHeight w:val="466"/>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480" w:type="dxa"/>
            <w:vAlign w:val="bottom"/>
            <w:gridSpan w:val="2"/>
          </w:tcPr>
          <w:p>
            <w:pPr>
              <w:spacing w:after="0"/>
              <w:rPr>
                <w:sz w:val="19"/>
                <w:szCs w:val="19"/>
                <w:color w:val="auto"/>
              </w:rPr>
            </w:pPr>
          </w:p>
        </w:tc>
        <w:tc>
          <w:tcPr>
            <w:tcW w:w="80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gridSpan w:val="18"/>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620" w:type="dxa"/>
            <w:vAlign w:val="bottom"/>
            <w:gridSpan w:val="3"/>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43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Discussions About Market Risk</w:t>
            </w:r>
          </w:p>
        </w:tc>
        <w:tc>
          <w:tcPr>
            <w:tcW w:w="3700" w:type="dxa"/>
            <w:vAlign w:val="bottom"/>
            <w:gridSpan w:val="6"/>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r>
      <w:tr>
        <w:trPr>
          <w:trHeight w:val="20"/>
        </w:trPr>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1600" w:type="dxa"/>
            <w:vAlign w:val="bottom"/>
            <w:gridSpan w:val="2"/>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300" w:type="dxa"/>
            <w:vAlign w:val="bottom"/>
            <w:gridSpan w:val="12"/>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760" w:type="dxa"/>
            <w:vAlign w:val="bottom"/>
            <w:gridSpan w:val="15"/>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r>
      <w:tr>
        <w:trPr>
          <w:trHeight w:val="466"/>
        </w:trPr>
        <w:tc>
          <w:tcPr>
            <w:tcW w:w="7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3980" w:type="dxa"/>
            <w:vAlign w:val="bottom"/>
            <w:gridSpan w:val="7"/>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Executive Compensation</w:t>
            </w:r>
          </w:p>
        </w:tc>
      </w:tr>
      <w:tr>
        <w:trPr>
          <w:trHeight w:val="20"/>
        </w:trPr>
        <w:tc>
          <w:tcPr>
            <w:tcW w:w="1140" w:type="dxa"/>
            <w:vAlign w:val="bottom"/>
            <w:gridSpan w:val="4"/>
          </w:tcPr>
          <w:p>
            <w:pPr>
              <w:spacing w:after="0" w:line="20" w:lineRule="exact"/>
              <w:rPr>
                <w:sz w:val="1"/>
                <w:szCs w:val="1"/>
                <w:color w:val="auto"/>
              </w:rPr>
            </w:pPr>
          </w:p>
        </w:tc>
        <w:tc>
          <w:tcPr>
            <w:tcW w:w="1800" w:type="dxa"/>
            <w:vAlign w:val="bottom"/>
            <w:gridSpan w:val="10"/>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780" w:type="dxa"/>
            <w:vAlign w:val="bottom"/>
          </w:tcPr>
          <w:p>
            <w:pPr>
              <w:spacing w:after="0"/>
              <w:rPr>
                <w:sz w:val="19"/>
                <w:szCs w:val="19"/>
                <w:color w:val="auto"/>
              </w:rPr>
            </w:pP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80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Certain Relationships, Related Transactions and Director Independence</w:t>
            </w:r>
          </w:p>
        </w:tc>
      </w:tr>
      <w:tr>
        <w:trPr>
          <w:trHeight w:val="223"/>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286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280" w:type="dxa"/>
            <w:vAlign w:val="bottom"/>
            <w:tcBorders>
              <w:top w:val="single" w:sz="8" w:color="0000EE"/>
            </w:tcBorders>
            <w:gridSpan w:val="5"/>
          </w:tcPr>
          <w:p>
            <w:pPr>
              <w:spacing w:after="0"/>
              <w:rPr>
                <w:sz w:val="19"/>
                <w:szCs w:val="19"/>
                <w:color w:val="auto"/>
              </w:rPr>
            </w:pPr>
          </w:p>
        </w:tc>
        <w:tc>
          <w:tcPr>
            <w:tcW w:w="2940" w:type="dxa"/>
            <w:vAlign w:val="bottom"/>
            <w:gridSpan w:val="4"/>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-3685540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-3068320</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-2142490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EE"/>
        </w:rPr>
        <w:t>Exhibits and Financial Statement Schedules</w:t>
      </w:r>
    </w:p>
    <w:p>
      <w:pPr>
        <w:spacing w:after="0" w:line="3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8"/>
          <w:szCs w:val="18"/>
          <w:u w:val="single" w:color="auto"/>
          <w:color w:val="0000EE"/>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SIGNATURES</w:t>
      </w:r>
    </w:p>
    <w:p>
      <w:pPr>
        <w:spacing w:after="0" w:line="200" w:lineRule="exact"/>
        <w:rPr>
          <w:sz w:val="20"/>
          <w:szCs w:val="20"/>
          <w:color w:val="auto"/>
        </w:rPr>
      </w:pPr>
    </w:p>
    <w:p>
      <w:pPr>
        <w:spacing w:after="0" w:line="210" w:lineRule="exact"/>
        <w:rPr>
          <w:sz w:val="20"/>
          <w:szCs w:val="20"/>
          <w:color w:val="auto"/>
        </w:rPr>
      </w:pPr>
    </w:p>
    <w:p>
      <w:pPr>
        <w:jc w:val="center"/>
        <w:ind w:left="11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40640</wp:posOffset>
            </wp:positionV>
            <wp:extent cx="3511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155" cy="17145"/>
                    </a:xfrm>
                    <a:prstGeom prst="rect">
                      <a:avLst/>
                    </a:prstGeom>
                    <a:noFill/>
                  </pic:spPr>
                </pic:pic>
              </a:graphicData>
            </a:graphic>
          </wp:anchor>
        </w:drawing>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2">
            <w:col w:w="10060" w:space="720"/>
            <w:col w:w="440"/>
          </w:cols>
          <w:pgMar w:left="320" w:top="44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metabolic dysfunction-associated steatohepatitis (MASH, formerly known as nonalcoholic steatohepatitis, or NASH)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MASH patients. We have completed two Phase 1 clinical studies, a Phase 2 clinical study in MASH patients with advanced fibrosis (NASH-FX) and a second Phase 2b clinical trial in MASH patients with compensated cirrhosis and portal hypertension (NASH-CX).</w:t>
      </w:r>
    </w:p>
    <w:p>
      <w:pPr>
        <w:spacing w:after="0" w:line="19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February 2023, we completed randomizations totaling 357 patients in a large, global Phase 2b/3 clinical trial, the NAVIGATE trial. Our study protocol was filed with the FDA on April 30, 2020, for a seamless adaptively-designed Phase 2b/3 clinical study evaluating the safety and efficacy of our galectin-3 inhibitor, belapectin, for the prevention of esophageal varices in patients with non-alcoholic steatohepatitis (MASH) cirrhosis Further details are available at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The information contained therein is not incorporated herein by reference. In September 2020, the Company received a letter from the FDA providing comments, asking questions and providing guidance on various aspects of the ongoing NAVIGATE trial. These comments were addressed, and the study proceeded accordingly.</w:t>
      </w:r>
    </w:p>
    <w:p>
      <w:pPr>
        <w:spacing w:after="0" w:line="18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Based on feedback from the U.S. Food and Drug Administration (FDA), the Company decided to analyze stage 1 of the NAVIGATE clinical trial results as a stand-alone trial. Therefore, the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Belapectin demonstrated consistent, meaningful effects across multiple key biomarkers in MASH cirrhosis. Fewer patients experienced clinically significant worsening of liver stiffness (LSM), while improvements in the ELF (Enhanced Liver Fibrosis) score suggested reduced fibrosis risk and potential improvement in liver function. Notably, the strongest impact was observed in the subgroup with the highest baseline risk (ELF score 11.3),</w:t>
      </w:r>
    </w:p>
    <w:p>
      <w:pPr>
        <w:spacing w:after="0" w:line="1"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7"/>
          <w:szCs w:val="17"/>
          <w:color w:val="auto"/>
        </w:rPr>
        <w:t>underscoring belapectin’s potential to benefit patients with advanced MASH cirrhosis. FibroScan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derived liver stiffness measurement (LSM) and the ELF test are the most widely used noninvasive markers to assess fibrosis severity and the risk of complications in patients with MASH and MASH cirrhosis.</w:t>
      </w:r>
    </w:p>
    <w:p>
      <w:pPr>
        <w:spacing w:after="0" w:line="19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Additionally, using the validated Baveno VII criteria for portal hypertension, treatment with belapectin was associated with a reduced presence of clinically significant portal hypertension (CSPH) and a lower risk of hepatic decompensation at 18 months.</w:t>
      </w:r>
    </w:p>
    <w:p>
      <w:pPr>
        <w:spacing w:after="0" w:line="158" w:lineRule="exact"/>
        <w:rPr>
          <w:sz w:val="20"/>
          <w:szCs w:val="20"/>
          <w:color w:val="auto"/>
        </w:rPr>
      </w:pPr>
    </w:p>
    <w:p>
      <w:pPr>
        <w:ind w:left="820" w:right="100" w:hanging="488"/>
        <w:spacing w:after="0" w:line="259"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Belapectin reduced clinically significant portal hypertension category and risk of hepatic decompensation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Using Baveno VII criteria incorporating liver stiffness measurement (LSM) by transient elastography (FibroScan®) and platelet count, belapectin treatment reduced the presence of clinically significant portal hypertension (CSPH) and lowered the risk of hepatic decompensation in patients with MASH cirrhosis. Notably, among recent MASH cirrhosis trials reported, NAVIGATE enrolled one of the most advanced patient populations, as evidenced by the high proportion of subjects meeting CSPH criteria at baseline.</w:t>
      </w:r>
    </w:p>
    <w:p>
      <w:pPr>
        <w:spacing w:after="0" w:line="183" w:lineRule="exact"/>
        <w:rPr>
          <w:rFonts w:ascii="Times New Roman" w:cs="Times New Roman" w:eastAsia="Times New Roman" w:hAnsi="Times New Roman"/>
          <w:sz w:val="18"/>
          <w:szCs w:val="18"/>
          <w:color w:val="auto"/>
        </w:rPr>
      </w:pPr>
    </w:p>
    <w:p>
      <w:pPr>
        <w:ind w:left="820" w:right="80" w:hanging="488"/>
        <w:spacing w:after="0" w:line="282"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portal hypertension risk categories were improved comparing belapectin to placebo. Over 18 months, a higher proportion of patients treated with belapectin transitioned from the CSPH or probable CSPH categories to the no/low-risk category, compared to placebo.</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Additionally, a study protocol entitled “A Single-dose, Open-label, Pharmacokinetic Study of Belapectin (GR-MD-02) in Subjects With Normal Hepatic Function and Subjects With Varying Degrees of Hepatic Impairment” has been filed with the FDA to examine the effects of the drug in subjects with normal hepatic function and subjects with varying degrees of hepatic impairment (study details are listed under study NCT04332432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this study became fully enrolled in February 2022 and favorable results were reported in 2023. The information contained therein is not incorporated herein by reference.</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including physical and chemical drug characterization, and commercial development. We also have established through our majority-owned joint venture subsidiary, Galectin Sciences LLC, a discovery program developing small molecules that inhibit galectin-3 and may afford alternative drug delivery (e.g., oral) and as a result expand the potential uses of galectin-3 inhibitor beyond belapectin. Three chemical series of composition of matter patents have been filed.</w:t>
      </w:r>
    </w:p>
    <w:p>
      <w:pPr>
        <w:spacing w:after="0" w:line="18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are also pursuing a development pathway to clinical enhancement and commercialization for our lead compounds in immuno-oncology following our previous successful collaboration with Providence Portland Cancer Center. In 2022, we filed a new IND with FDA for advanced or metastatic head and neck cancer using belapectin in combination with a checkpoint (PD-1) inhibitor and received a Study May Proceed letter. The proposed phase 2 trial commencement is dependent on timing of financing.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our proposed products are presently in development, including pre-clinical and clinical trials.</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Drug Development Programs</w:t>
      </w:r>
    </w:p>
    <w:p>
      <w:pPr>
        <w:spacing w:after="0" w:line="22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Galectins are a class of proteins that are made by many cells in the body, but predominantly in cells of the immune system. As a group, these proteins are able to bind to sugar molecules that are attached to other proteins, called glycoproteins that are responsible for various functions within the body, most notably inflammation and fibrosis. Galectins, in particular galectin-3, act as a molecular glue, bringing together molecules that have sugars on them. Galectin-3, is known to be markedly increased in a number of significant diseases including inflammatory diseases leading to organs scarring (e.g. liver, lung, kidney, and heart) and cancers. The increase in galectin-3, by creating the so-called galectin-3 fibrosome, promotes the progression of multiple diseases. Published data substantiating the importance of galectin-3 in the fibrotic process arises from gene knockout experiments in animal studies. For instance, mice genetically altered to eliminate the galectin-3 gene, and thus unable to produce galectin-3, do not develop liver fibrosis in response to toxic insult to the liver.</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one new proprietary chemical entity (NCE) in development, belapectin, which has shown promise in preclinical and clinical studies for the treatment of liver fibrosis, severe skin disease, and cancer (melanoma and head and neck squamous cell carcinoma). Currently, we are focusing on development of belapectin for the treatment of MASH cirrhosis and head and neck cancer. Belapectin is a proprietary, patented compound derived from natural, plant-based, starting materials, which following chemical processing, exhibits the properties of binding to and inhibiting galectin-3.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Our product pipeline is shown below:</w:t>
            </w:r>
          </w:p>
        </w:tc>
        <w:tc>
          <w:tcPr>
            <w:tcW w:w="13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37"/>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Drug</w:t>
            </w: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Prevention of esophageal</w:t>
            </w:r>
          </w:p>
        </w:tc>
        <w:tc>
          <w:tcPr>
            <w:tcW w:w="1380" w:type="dxa"/>
            <w:vAlign w:val="bottom"/>
          </w:tcPr>
          <w:p>
            <w:pPr>
              <w:spacing w:after="0"/>
              <w:rPr>
                <w:sz w:val="18"/>
                <w:szCs w:val="18"/>
                <w:color w:val="auto"/>
              </w:rPr>
            </w:pPr>
          </w:p>
        </w:tc>
        <w:tc>
          <w:tcPr>
            <w:tcW w:w="6920" w:type="dxa"/>
            <w:vAlign w:val="bottom"/>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varices in</w:t>
            </w:r>
          </w:p>
        </w:tc>
        <w:tc>
          <w:tcPr>
            <w:tcW w:w="1380" w:type="dxa"/>
            <w:vAlign w:val="bottom"/>
          </w:tcPr>
          <w:p>
            <w:pPr>
              <w:spacing w:after="0"/>
              <w:rPr>
                <w:sz w:val="18"/>
                <w:szCs w:val="18"/>
                <w:color w:val="auto"/>
              </w:rPr>
            </w:pPr>
          </w:p>
        </w:tc>
        <w:tc>
          <w:tcPr>
            <w:tcW w:w="692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MASH cirrhosis</w:t>
            </w:r>
          </w:p>
        </w:tc>
        <w:tc>
          <w:tcPr>
            <w:tcW w:w="13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Phase 1 interaction trial:</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belapectin</w:t>
            </w: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IND submitted January 2013. Results from the Phase 1 interaction trial were reported in</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NASH-CX trial and</w:t>
            </w: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2014, with final results reported in January 2015.</w:t>
            </w: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NASH-FX trial</w:t>
            </w:r>
          </w:p>
        </w:tc>
        <w:tc>
          <w:tcPr>
            <w:tcW w:w="138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238"/>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Phase 2 NASH FX trial was conducted in patients with advanced fibrosis but not</w:t>
            </w:r>
          </w:p>
        </w:tc>
      </w:t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cirrhosis. Its principal purpose was to evaluate various imaging modalities. The NASH</w:t>
            </w:r>
          </w:p>
        </w:tc>
      </w:t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FX trial top line data was reported in September 2016 and published in Alimentary</w:t>
            </w:r>
          </w:p>
        </w:tc>
      </w:tr>
      <w:tr>
        <w:trPr>
          <w:trHeight w:val="234"/>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Pharmacology and Therapeutics in 2016.</w:t>
            </w:r>
          </w:p>
        </w:tc>
      </w:tr>
      <w:tr>
        <w:trPr>
          <w:trHeight w:val="468"/>
        </w:trPr>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Phase 2 NASH CX trial was conducted in patients with compensated cirrhosis and</w:t>
            </w:r>
          </w:p>
        </w:tc>
      </w:tr>
      <w:tr>
        <w:trPr>
          <w:trHeight w:val="214"/>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portal hypertension. The NASH CX trial top line data was reported in December 2017</w:t>
            </w:r>
          </w:p>
        </w:tc>
      </w:tr>
      <w:tr>
        <w:trPr>
          <w:trHeight w:val="236"/>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xml:space="preserve">and was published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in 2020.</w:t>
            </w:r>
          </w:p>
        </w:tc>
      </w:tr>
      <w:tr>
        <w:trPr>
          <w:trHeight w:val="42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MASH NAVIGATE</w:t>
            </w:r>
          </w:p>
        </w:tc>
        <w:tc>
          <w:tcPr>
            <w:tcW w:w="1380" w:type="dxa"/>
            <w:vAlign w:val="bottom"/>
          </w:tcPr>
          <w:p>
            <w:pPr>
              <w:spacing w:after="0"/>
              <w:rPr>
                <w:sz w:val="24"/>
                <w:szCs w:val="24"/>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Following FDA feedback, the NAVIGATE trial was for the prevention of esophageal</w:t>
            </w:r>
          </w:p>
        </w:tc>
      </w:t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varices in MASH patients with compensated cirrhosis and clinical signs of portal</w:t>
            </w:r>
          </w:p>
        </w:tc>
      </w:t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hypertension. The final patient was randomized in February 2023 and top-line results</w:t>
            </w:r>
          </w:p>
        </w:tc>
      </w:t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were presented in December 2024. Additional analysis from the trial has been presented</w:t>
            </w:r>
          </w:p>
        </w:tc>
      </w:tr>
      <w:tr>
        <w:trPr>
          <w:trHeight w:val="234"/>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 2025 and continues.</w:t>
            </w:r>
          </w:p>
        </w:tc>
      </w:tr>
      <w:tr>
        <w:trPr>
          <w:trHeight w:val="41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Phase 1 study: hepatic</w:t>
            </w:r>
          </w:p>
        </w:tc>
        <w:tc>
          <w:tcPr>
            <w:tcW w:w="1380" w:type="dxa"/>
            <w:vAlign w:val="bottom"/>
          </w:tcPr>
          <w:p>
            <w:pPr>
              <w:spacing w:after="0"/>
              <w:rPr>
                <w:sz w:val="24"/>
                <w:szCs w:val="24"/>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 hepatic impairment study is being conducted in subjects with normal hepatic function</w:t>
            </w: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insufficiency</w:t>
            </w: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and subjects with varying degrees of hepatic impairment (www.clinicaltrials.gov</w:t>
            </w:r>
          </w:p>
        </w:tc>
      </w:tr>
      <w:tr>
        <w:trPr>
          <w:trHeight w:val="216"/>
        </w:trPr>
        <w:tc>
          <w:tcPr>
            <w:tcW w:w="2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NCT04332432) and began enrolling patients in the second quarter of 2020. The study</w:t>
            </w:r>
          </w:p>
        </w:tc>
      </w:tr>
      <w:tr>
        <w:trPr>
          <w:trHeight w:val="234"/>
        </w:trPr>
        <w:tc>
          <w:tcPr>
            <w:tcW w:w="2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9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completed enrollment in February 2022 and favorable results were presented in 2023.</w:t>
            </w:r>
          </w:p>
        </w:tc>
      </w:tr>
      <w:tr>
        <w:trPr>
          <w:trHeight w:val="570"/>
        </w:trPr>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9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3</w:t>
            </w:r>
          </w:p>
        </w:tc>
      </w:tr>
      <w:tr>
        <w:trPr>
          <w:trHeight w:val="58"/>
        </w:trPr>
        <w:tc>
          <w:tcPr>
            <w:tcW w:w="29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69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9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r>
      <w:tr>
        <w:trPr>
          <w:trHeight w:val="412"/>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Cancer Immunotherapy</w:t>
            </w:r>
          </w:p>
        </w:tc>
        <w:tc>
          <w:tcPr>
            <w:tcW w:w="7920" w:type="dxa"/>
            <w:vAlign w:val="bottom"/>
          </w:tcPr>
          <w:p>
            <w:pPr>
              <w:spacing w:after="0"/>
              <w:rPr>
                <w:sz w:val="24"/>
                <w:szCs w:val="24"/>
                <w:color w:val="auto"/>
              </w:rPr>
            </w:pPr>
          </w:p>
        </w:tc>
      </w:tr>
      <w:tr>
        <w:trPr>
          <w:trHeight w:val="41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Melanoma, Head, Neck</w:t>
            </w: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Investigator IND study was completed. A Phase 1B study began in Q-1 2016. Early data</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Squamous Cell belapectin</w:t>
            </w: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w w:val="99"/>
              </w:rPr>
              <w:t>was reported in February 2017 and additional data were reported in September 2018. Data</w:t>
            </w:r>
          </w:p>
        </w:tc>
      </w:tr>
      <w:tr>
        <w:trPr>
          <w:trHeight w:val="216"/>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Carcinoma (HNSCC)</w:t>
            </w: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from an extension trial was reported in July 2021 for additional melanoma and HNSCC</w:t>
            </w:r>
          </w:p>
        </w:tc>
      </w:tr>
      <w:tr>
        <w:trPr>
          <w:trHeight w:val="216"/>
        </w:trPr>
        <w:tc>
          <w:tcPr>
            <w:tcW w:w="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patients which provided a rational basis for additional trials which the Company is</w:t>
            </w:r>
          </w:p>
        </w:tc>
      </w:tr>
      <w:tr>
        <w:trPr>
          <w:trHeight w:val="216"/>
        </w:trPr>
        <w:tc>
          <w:tcPr>
            <w:tcW w:w="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exploring. In the third quarter of 2022, the Company announced its IND application for</w:t>
            </w:r>
          </w:p>
        </w:tc>
      </w:tr>
      <w:tr>
        <w:trPr>
          <w:trHeight w:val="216"/>
        </w:trPr>
        <w:tc>
          <w:tcPr>
            <w:tcW w:w="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belapectin in combination with a checkpoint inhibitor for the treatment of HNSCC was</w:t>
            </w:r>
          </w:p>
        </w:tc>
      </w:tr>
      <w:tr>
        <w:trPr>
          <w:trHeight w:val="216"/>
        </w:trPr>
        <w:tc>
          <w:tcPr>
            <w:tcW w:w="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filed and a Study May Proceed letter was received from FDA. The Company is reviewing</w:t>
            </w:r>
          </w:p>
        </w:tc>
      </w:tr>
      <w:tr>
        <w:trPr>
          <w:trHeight w:val="234"/>
        </w:trPr>
        <w:tc>
          <w:tcPr>
            <w:tcW w:w="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9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options for financing this trial which will determine when such trial could commence.</w:t>
            </w:r>
          </w:p>
        </w:tc>
      </w:tr>
      <w:tr>
        <w:trPr>
          <w:trHeight w:val="570"/>
        </w:trPr>
        <w:tc>
          <w:tcPr>
            <w:tcW w:w="3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92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4</w:t>
            </w:r>
          </w:p>
        </w:tc>
      </w:tr>
      <w:tr>
        <w:trPr>
          <w:trHeight w:val="58"/>
        </w:trPr>
        <w:tc>
          <w:tcPr>
            <w:tcW w:w="32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79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Liver cirrhosis. </w:t>
      </w:r>
      <w:r>
        <w:rPr>
          <w:rFonts w:ascii="Times New Roman" w:cs="Times New Roman" w:eastAsia="Times New Roman" w:hAnsi="Times New Roman"/>
          <w:sz w:val="18"/>
          <w:szCs w:val="18"/>
          <w:color w:val="auto"/>
        </w:rPr>
        <w:t>Belapectin is our lead product candidate for treatment of compensated MASH cirrhosis in patients with portal hypertension.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preclinical data show that belapectin has a significant therapeutic effect on liver fibrosis as shown in several relevant animal models. In addition, in MASH animal models, belapectin has been shown to reduce liver fat, inflammation, portal pressure, and ballooning degeneration (death of liver cells). Therefore, we chose belapectin as the lead candidate in a development program targeted initially at fibrotic liver disease associated with metabolic dysfunction-associated steatohepatitis (formerly known as nonalcoholic steatohepatitis) with cirrhosis. In January 2013, an Investigational New Drug (“IND”) was submitted to the FDA with the goal of initiating a Phase 1 study in patients with MASH and advanced liver fibrosis to evaluate the safety of belapectin and pharmacodynamics biomarkers of disease. On March 1, 2013, the FDA indicated we could proceed with a US Phase 1 clinical trial for belapectin with a development program aimed at obtaining support for a proposed indication of belapectin for treatment of MASH with advanced fibrosis. The Phase 1 trial was completed and demonstrated that belapectin up to 8 mg/kg Lean Body Mass (LBM), i.v. was safe and well tolerated.</w:t>
      </w:r>
    </w:p>
    <w:p>
      <w:pPr>
        <w:spacing w:after="0" w:line="19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Additionally, an open label drug-drug phase 1 interaction study was completed in healthy volunteers during the second quarter of 2015 with belapectin and it showed that with 8 mg/kg LBM dose of belapectin and 2 mg/kg LBM dose of midazolam there was no drug-drug interaction, and no serious adverse events or drug-related adverse events were observed. The secondary objective was to assess the safety and tolerability of belapectin when administered concomitantly with midazolam.</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Phase 2 program in fibrotic disease consisted of two separate human clinical trials. The main clinical trial was the Phase 2b NASH-CX study for one year for patients with MASH with compensated cirrhosis and portal hypertension, which began enrolling patients in June 2015. This study was a randomized, placebo-controlled, double-blind, parallel-group Phase 2b trial to evaluate the safety and efficacy of belapectin for treatment of liver fibrosis and resultant portal hypertension in MASH patients with compensated cirrhosis. A smaller, exploratory NASH-FX trial was conducted to explore potential use of various non-invasive imaging techniques in MASH patients with advanced fibrosis but not cirrhosis.</w:t>
      </w:r>
    </w:p>
    <w:p>
      <w:pPr>
        <w:spacing w:after="0" w:line="179" w:lineRule="exact"/>
        <w:rPr>
          <w:sz w:val="20"/>
          <w:szCs w:val="20"/>
          <w:color w:val="auto"/>
        </w:rPr>
      </w:pPr>
    </w:p>
    <w:p>
      <w:pPr>
        <w:ind w:right="60" w:firstLine="437"/>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NASH-FX Trial: </w:t>
      </w:r>
      <w:r>
        <w:rPr>
          <w:rFonts w:ascii="Times New Roman" w:cs="Times New Roman" w:eastAsia="Times New Roman" w:hAnsi="Times New Roman"/>
          <w:sz w:val="18"/>
          <w:szCs w:val="18"/>
          <w:color w:val="auto"/>
        </w:rPr>
        <w:t>The NASH-FX trial was a Phase 2a pilot trial for patients with MASH and advanced fibrosis that explored use of three non-invasive imaging technologies. It was a short, single site, four-month trial in 30 MASH patients with advanced fibrosis (F3) randomized 1:1 to either 9 bi-weekly doses of 8 mg/kg LBM of belapectin or placebo. The trial did not meet its primary endpoint as measured using multi-parametric magnetic resonance imaging (LiverMultiScan</w:t>
      </w:r>
      <w:r>
        <w:rPr>
          <w:rFonts w:ascii="Times New Roman" w:cs="Times New Roman" w:eastAsia="Times New Roman" w:hAnsi="Times New Roman"/>
          <w:sz w:val="25"/>
          <w:szCs w:val="25"/>
          <w:color w:val="auto"/>
          <w:vertAlign w:val="superscript"/>
        </w:rPr>
        <w:t>(R)</w:t>
      </w:r>
      <w:r>
        <w:rPr>
          <w:rFonts w:ascii="Times New Roman" w:cs="Times New Roman" w:eastAsia="Times New Roman" w:hAnsi="Times New Roman"/>
          <w:sz w:val="18"/>
          <w:szCs w:val="18"/>
          <w:color w:val="auto"/>
        </w:rPr>
        <w:t>, Perspectum Diagnostics). The trial also did not meet secondary endpoints that measure liver stiffness as a surrogate for fibrosis using, magnetic resonance-elastography and FibroScan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score. With a four-month treatment period and a small number of patients per arm the study was not powered to demonstrate efficacy results in established advanced liver fibrosis. In the trial, however, belapectin was found to be safe and well tolerated with no serious adverse events and showing evidence of a pharmacodynamic effect. These results provided support for further development in MASH.</w:t>
      </w:r>
    </w:p>
    <w:p>
      <w:pPr>
        <w:spacing w:after="0" w:line="200" w:lineRule="exact"/>
        <w:rPr>
          <w:sz w:val="20"/>
          <w:szCs w:val="20"/>
          <w:color w:val="auto"/>
        </w:rPr>
      </w:pPr>
    </w:p>
    <w:p>
      <w:pPr>
        <w:ind w:right="140" w:firstLine="486"/>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NASH-CX Trial: </w:t>
      </w:r>
      <w:r>
        <w:rPr>
          <w:rFonts w:ascii="Times New Roman" w:cs="Times New Roman" w:eastAsia="Times New Roman" w:hAnsi="Times New Roman"/>
          <w:sz w:val="18"/>
          <w:szCs w:val="18"/>
          <w:color w:val="auto"/>
        </w:rPr>
        <w:t>The NASH-CX trial was a larger multi-center clinical trial that explored the use of belapectin for the treatment of patients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well-compensated MASH cirrhosis and portal hypertension. Enrollment was completed in September 2016, and a total of 162 patients at 36 sites in the United States were randomized to receive either 2 mg/kg LBM of belapectin, 8 mg/kg LBM of belapectin or placebo. Approximately 50% of patients at baseline had esophageal varices (a complication of portal hypertension). The primary endpoint was a reduction in hepatic venous pressure gradient (HVPG), a hemodynamic measure that estimates portal hypertension. Patients received an infusion of belapectin or placebo every other week for one year and were evaluated to determine the change in HVPG as compared with placebo. Secondary or exploratory endpoints included evaluation of fibrosis on liver biopsy, measurement of liver stiffness (FibroScan) and assessment of liver metabolism (</w:t>
      </w:r>
      <w:r>
        <w:rPr>
          <w:rFonts w:ascii="Times New Roman" w:cs="Times New Roman" w:eastAsia="Times New Roman" w:hAnsi="Times New Roman"/>
          <w:sz w:val="25"/>
          <w:szCs w:val="25"/>
          <w:color w:val="auto"/>
          <w:vertAlign w:val="superscript"/>
        </w:rPr>
        <w:t>13</w:t>
      </w:r>
      <w:r>
        <w:rPr>
          <w:rFonts w:ascii="Times New Roman" w:cs="Times New Roman" w:eastAsia="Times New Roman" w:hAnsi="Times New Roman"/>
          <w:sz w:val="18"/>
          <w:szCs w:val="18"/>
          <w:color w:val="auto"/>
        </w:rPr>
        <w:t>C-methacetin breath test). Top line data readout was reported in December 2017. The study demonstrated a favorable safety profile and clinically meaningful efficacy results in patients without esophageal varices at baseline as demonstrated by a decrease in portal pressure associated with the prevention of development of varices when compared to placebo.</w:t>
      </w:r>
    </w:p>
    <w:p>
      <w:pPr>
        <w:spacing w:after="0" w:line="1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the total patient population, the primary endpoint HVPG showed a trend toward benefit with belapectin treatment, but the difference from placebo was not statistically significant. The mean change in HVPG of placebo from baseline to week 54 was 0.3 mm Hg. The mean change in HVPG from baseline was -0.37 and -0.42 for the 2 mg/kg LBM dose and 8 mg/kg LBM dose of belapectin, respectively.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In those MASH cirrhosis patients with portal hypertension who have not yet developed esophageal varices at baseline (about 50% of the total population), there was a statistically significant effect of the 2 mg/kg LBM dose of belapectin on the absolute change in HVPG (-1.08 mm Hg, p&lt;0.01). The effect of the 8 mg/Kg LBM dose of belapectin on absolute or percent change in HVPG from baseline to week 54 was not significant.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Also, because of the clinical relevance of this population, a responder analysis was performed on those patients without esophageal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belapectin 2 mg/kg LBM group was statistically significant (p&lt;0.01) while that of the 8 mg/kg LBM group was not.</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Over the 54-week treatment period, in patients without varices at baseline there were also statistically significantly fewer new varices that developed in the belapectin treatment groups (0% and 4% in the 2 mg/kg LBM and the 8 mg/kg LBM, respectively) vs placebo (18%). This meant that the decrease seen in portal pressure was associated with a decreased incidence of esophageal varices. The results were noticeable in the belapectin 2 mg/Kg LBM group as statistical significance against placebo was achieved for both parameters. As esophageal varices can lead to hemorrhagic complication, which can be fatal, and are a severe complication of liver cirrhosis, we believe the prevention of esophageal varices may represent a clinically relevant measure of clinical efficacy in patients with MASH cirrhosis.</w:t>
      </w:r>
    </w:p>
    <w:p>
      <w:pPr>
        <w:spacing w:after="0" w:line="18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major conclusions from the NASH-CX trial results were that: (i) belapectin had a statistically significant and clinically meaningful effect in improving HVPG vs placebo in patients with MASH cirrhosis who did not have esophageal varices at baseline, (ii) Belapectin in the total patient population was associated with a statistically significant improvement in hepatocyte ballooning (i.e. cell death), (iii) There was a statistically significant reduction (p=0.02) in the development of new esophageal varices in drug-treated patients compared to placebo. We believe that the prevention of esophageal varices is a clinically relevant endpoint related to patient outcomes, (iv) While there was a drug effect in both the 2 mg/kg LBM and 8 mg/kg LBM groups on the development of varices and liver biopsy there was a consistently greater and statistically significant effect of the 2 mg/kg LBM dose of belapectin, (v) belapectin appears to be safe and well tolerated in this one year clinical trial, a feature that is of prime importance for a cirrhotic population and (vi) This is the first large, randomized clinical trial to demonstrate a clinically meaningful improvement in portal hypertension in patients with compensated MASH cirrhosis who have not yet developed esophageal varices.</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information and details on the NASH-CX results is available in public presentations posted to our website and filed with the SEC and in a peer reviewed publication in </w:t>
      </w:r>
      <w:r>
        <w:rPr>
          <w:rFonts w:ascii="Times New Roman" w:cs="Times New Roman" w:eastAsia="Times New Roman" w:hAnsi="Times New Roman"/>
          <w:sz w:val="18"/>
          <w:szCs w:val="18"/>
          <w:i w:val="1"/>
          <w:iCs w:val="1"/>
          <w:color w:val="auto"/>
        </w:rPr>
        <w:t>Gastroenterology</w:t>
      </w:r>
      <w:r>
        <w:rPr>
          <w:rFonts w:ascii="Times New Roman" w:cs="Times New Roman" w:eastAsia="Times New Roman" w:hAnsi="Times New Roman"/>
          <w:sz w:val="18"/>
          <w:szCs w:val="18"/>
          <w:color w:val="auto"/>
        </w:rPr>
        <w:t xml:space="preserve"> 2020;158:1334–1345.</w:t>
      </w:r>
    </w:p>
    <w:p>
      <w:pPr>
        <w:spacing w:after="0" w:line="158" w:lineRule="exact"/>
        <w:rPr>
          <w:sz w:val="20"/>
          <w:szCs w:val="20"/>
          <w:color w:val="auto"/>
        </w:rPr>
      </w:pPr>
    </w:p>
    <w:p>
      <w:pPr>
        <w:ind w:right="20" w:firstLine="437"/>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MASH NAVIGATE Trial: </w:t>
      </w:r>
      <w:r>
        <w:rPr>
          <w:rFonts w:ascii="Times New Roman" w:cs="Times New Roman" w:eastAsia="Times New Roman" w:hAnsi="Times New Roman"/>
          <w:sz w:val="18"/>
          <w:szCs w:val="18"/>
          <w:color w:val="auto"/>
        </w:rPr>
        <w:t>Building on the experience of the NASH-CX trial, the NAVIGATE Trial was designed as a seamless adaptively-designed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Phase 2b/3 clinical study evaluating the safety and efficacy of our galectin-3 inhibitor, belapectin, for the prevention of esophageal varices in patient with metabolic dysfunction-associated steatohepatitis (MASH, formerly known as nonalcoholic steatohepatitis, or NASH) with cirrhosis. The major features of this innovative Phase 2b/3 study design are: i) In patients with MASH cirrhosis and clinical signs of portal hypertension but without esophageal varices at baseline, evaluated by an esophago-gastro-duodeno endoscopy, this trial will assess the effect of belapectin on the incidence of new varices (the primary endpoint) – as well as assessing the effect of belapectin on the incidence of additional clinically significant cirrhosis-related outcomes (a key secondary efficacy endpoint), (ii) The study targets MASH patients with a clearly identified unmet medical need: patients with compensated cirrhosis who have clinical signs of portal hypertension and, thus, are at risk of developing esophageal varices, a potentially life-threatening complication of cirrhosis (bleeding varices are a cause of death in about one-third of cirrhotic patients). There is currently no approved treatment for preventing varices in these patients. In addition, the development of esophageal varices reflects the progression of hepatic cirrhosis and thus portends the development of other cirrhosis complications such as ascites, hepatic encephalopathy, and liver failure, and (iii) During the first 18 months, two belapectin dose levels (2 mg/kg LBM and 4 mg/kg LBM) will be compared to placebo (phase 2b).</w:t>
      </w:r>
    </w:p>
    <w:p>
      <w:pPr>
        <w:spacing w:after="0" w:line="19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Based on feedback from the U.S. Food and Drug Administration (FDA), the Company has decided to analyze stage 1 of the NAVIGATE clinical trial results as a stand-alone trial. Therefore, a decision was made to present full top-line efficacy and safety results, following last patient last visit and database lock which occurred in fall 2024. In December 2024, we presented top-line results of the NAVIGATE clinical trial. In the intent-to-treat (ITT) population (N=355), while the incidence of varices was 43.2% reduced in the belapectin 2 mg/kg dose group vs placebo, the composite endpoint did not reach statistical significance. The per-protocol population (PPP) was pre-defined as subjects who completed 18 months of therapy with upper endoscopy performed at both baseline and 18 months. In the PPP (n=287), the incidence of varices was reduced by 49.3% (compared to the targeted 52.5% reduction) in the belapectin 2 mg/kg dose group (p-value &lt; 0.05). The Company further analyzed the two thirds of the completer patients in the NAVIGATE trial enrolled in the U.S. (n=186). The incidence of varices in this population was significantly reduced by 68.1% (p=0.02) in patients treated with belapectin 2 mg (4 out of 60) vs placebo (13 out of 62) in the U.S. While all three cohorts of patients in the U.S. had a higher percentage use of GLP-1 and statins than the rest of the world, the belapectin cohorts performed much better than placebo in the U.S. The Company continued to analyze trial data and reported additional information in 2025.</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As in prior trials, the safety profile of belapectin remains highly encouraging with incidence of adverse events and serious adverse events comparable across the three cohorts. Rates of discontinuation, adverse events (AEs), and serious adverse events (SAEs) were comparable to placebo, with no drug-related SAEs reported in the NAVIGATE trial.</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the NAVIGATE trial, as proposed in the protocol, secondary endpoints include a composite clinical outcomes endpoint, including varices requiring treatment (development of large varices or varices with a red wale), decompensating events, all-cause mortality, MELD score increase, liver transplant. Also, MASH non-invasive biomarkers will be evaluated. To target a population at risk of developing esophageal varices, patient selection was based on clinical signs of portal hypertension, including, but not limited to, a low platelet count, an increased spleen size, an increased liver stiffness, and/or evidence of abdominal collaterals circulation.</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focus and goal of the therapeutic program is to stop the progression of and/or reverse portal hypertension and thereby prevent the development of varices, potentially one of the most life-threatening complications of cirrhosis. Based on the results of the NASH-CX trial and subject to confirmation in later stage clinical trials, we believe that this goal is achievable in a significant portion of the MASH cirrhosis patient population i.e. those MASH cirrhosis patients with clinical signs of portal hypertension for whom, currently, apart from a liver transplantation, no specific liver targeted, treatments are available.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activated more than 150 clinical trial sites in 14 countries for the NAVIGATE trial.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COVID-19 pandemic delayed our regulatory and ethics approvals, recruitment of sites, and enrollment of patients for our NAVIGATE trial. For several reasons, the pandemic made enrolling patients for the NAVIGATE trial more challenging, notably because patients eligible for the NAVIGATE trial have liver cirrhosis and, as such, were at a greater health risk of complications from COVID-19 and needed to be vaccinated before taking the risk of infection associated with a visit to a healthcare facility. As we emerged from the COVID-19 pandemic, site recruitment and patient enrollment accelerated and we experienced increases in the speed of enrollment, particularly in the United States. However, we did not see the enrollment in Europe that we anticipated. Consequently, we activated multiple sites in Latin America.</w:t>
      </w:r>
    </w:p>
    <w:p>
      <w:pPr>
        <w:spacing w:after="0" w:line="187"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Further details on the NAVIGATE trial can be found on </w:t>
      </w:r>
      <w:r>
        <w:rPr>
          <w:rFonts w:ascii="Times New Roman" w:cs="Times New Roman" w:eastAsia="Times New Roman" w:hAnsi="Times New Roman"/>
          <w:sz w:val="18"/>
          <w:szCs w:val="18"/>
          <w:u w:val="single" w:color="auto"/>
          <w:color w:val="auto"/>
        </w:rPr>
        <w:t>www.clinicaltrials.gov</w:t>
      </w:r>
      <w:r>
        <w:rPr>
          <w:rFonts w:ascii="Times New Roman" w:cs="Times New Roman" w:eastAsia="Times New Roman" w:hAnsi="Times New Roman"/>
          <w:sz w:val="18"/>
          <w:szCs w:val="18"/>
          <w:color w:val="auto"/>
        </w:rPr>
        <w:t xml:space="preserve"> under study NCT04365868 and on our NAVIGATE website (navigatenash.com). The information contained therein is not incorporated herein by reference.</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6"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also has completed a Hepatic Impairment Study, which ran in parallel with the phase 2b/3 trial as part of the development program. The Hepatic Impairment Study was conducted at three sites and involved approximately 40 patients (divided amongst normal healthy volunteers, and patients with hepatic impairment categorized as Child-Turcotte-Pugh (CTP) classes A (mild), B (moderate), and C (severe). Each subject received a single infusion of belapectin (4 mg/kg LBM) and their serum belapectin levels were monitored for up to approximately two weeks to define the effects of various stages of cirrhosis on serum belapectin levels. The tolerance and safety of belapectin was evaluated. Enrollment in this study was completed in February 2022, and the final results were presented the T</w:t>
      </w:r>
      <w:r>
        <w:rPr>
          <w:rFonts w:ascii="Times New Roman" w:cs="Times New Roman" w:eastAsia="Times New Roman" w:hAnsi="Times New Roman"/>
          <w:sz w:val="18"/>
          <w:szCs w:val="18"/>
          <w:color w:val="333333"/>
        </w:rPr>
        <w:t>he Liver Meeting™ 2023, hosted by the American Association for the Study of Liver Diseases. The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indicated that belapectin exposure did not increase with the degree of hepatic insufficiency, a property that is consistent with the observed distribution of the drug into activated macrophages. </w:t>
      </w:r>
      <w:r>
        <w:rPr>
          <w:rFonts w:ascii="Times New Roman" w:cs="Times New Roman" w:eastAsia="Times New Roman" w:hAnsi="Times New Roman"/>
          <w:sz w:val="18"/>
          <w:szCs w:val="18"/>
          <w:color w:val="000000"/>
        </w:rPr>
        <w:t>Further details on this hepatic impairment study can be found 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u w:val="single" w:color="auto"/>
          <w:color w:val="000000"/>
        </w:rPr>
        <w:t>www.clinicaltrials.gov</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study NCT04332432. The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information contained therein is not incorporated herein by reference.</w:t>
      </w:r>
    </w:p>
    <w:p>
      <w:pPr>
        <w:spacing w:after="0" w:line="186" w:lineRule="exact"/>
        <w:rPr>
          <w:sz w:val="20"/>
          <w:szCs w:val="20"/>
          <w:color w:val="auto"/>
        </w:rPr>
      </w:pPr>
    </w:p>
    <w:p>
      <w:pPr>
        <w:ind w:right="100" w:firstLine="43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Cancer Immunotherapy. </w:t>
      </w:r>
      <w:r>
        <w:rPr>
          <w:rFonts w:ascii="Times New Roman" w:cs="Times New Roman" w:eastAsia="Times New Roman" w:hAnsi="Times New Roman"/>
          <w:sz w:val="18"/>
          <w:szCs w:val="18"/>
          <w:color w:val="auto"/>
        </w:rPr>
        <w:t>We believe there is potential for galectin inhibition to play a key role in the innovative area of cancer immunotherapy.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example, there have been several recent approvals of drugs that enhance a patient’s immune system to fight cancer. It is our goal to use our galectin-3 inhibitor to further enhance the immune system function to help the body to fight cancer in a way that complements other approaches to this type of therapy. This hypothesis is supported by the fact that galectin-3 is expressed at high levels in multiple types of tumors and their micro-environment, where it fosters the malignant nature of the tumors, and protects the tumors from immune attack by the patient’s own defense mechanism. Our drug candidates provide a promising new therapeutic approach to enhance the activity of the immune system against cancer cells. Preclinical studies have indicated that belapectin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Phase 1B studies of belapectin in</w:t>
      </w:r>
    </w:p>
    <w:p>
      <w:pPr>
        <w:spacing w:after="0" w:line="1" w:lineRule="exact"/>
        <w:rPr>
          <w:sz w:val="20"/>
          <w:szCs w:val="20"/>
          <w:color w:val="auto"/>
        </w:rPr>
      </w:pPr>
    </w:p>
    <w:p>
      <w:pPr>
        <w:jc w:val="both"/>
        <w:ind w:right="500"/>
        <w:spacing w:after="0" w:line="221" w:lineRule="auto"/>
        <w:rPr>
          <w:sz w:val="20"/>
          <w:szCs w:val="20"/>
          <w:color w:val="auto"/>
        </w:rPr>
      </w:pPr>
      <w:r>
        <w:rPr>
          <w:rFonts w:ascii="Times New Roman" w:cs="Times New Roman" w:eastAsia="Times New Roman" w:hAnsi="Times New Roman"/>
          <w:sz w:val="18"/>
          <w:szCs w:val="18"/>
          <w:color w:val="auto"/>
        </w:rPr>
        <w:t>combination with Yervoy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(ipilimumab) in metastatic melanoma and another phase 1B study in combination with KEYTRUDA (pembrolizumab) in patients with metastatic melanoma and head and neck squamous cell carcinoma. These studies were conducted under the sponsorship of Providence Portland Medical Center’s Earle A. Chiles Research Institute (EACRI).</w:t>
      </w:r>
    </w:p>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phase IB study in combination with Yervoy was rapidly discontinued after the first patients were recruited because of the availability of new treatment in the selected population.</w:t>
      </w:r>
    </w:p>
    <w:p>
      <w:pPr>
        <w:spacing w:after="0" w:line="165"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18"/>
          <w:szCs w:val="18"/>
          <w:color w:val="auto"/>
        </w:rPr>
        <w:t>Promising results were reported in the Phase 1b trial combining belapectin with pembrolizumab (KEYTRUDA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When aggregated cohorts are combined, in advanced melanoma, a 50% objective response rate with belapectin in combination with KEYTRUDA, was documented. In addition, a 33% response rate was documented in patients with head and neck cancer. The results have been published in 2021 in a highly rated peer reviewed journal (Curti et al. Journal of Immunotherapy of cancer 2021;9:e002371). There was also a suggestion that the combination of belapectin with pembrolizumab could decrease the auto-immune side-effect induced by pembrolizumab. These side-effects, which are directly linked to the mechanism of action of pembrolizumab, can be poorly tolerated and even severe enough to lead to treatment interruption, even if the effect on the cancer was encouraging. This is, a very frustrating situation for patients who have to discontinue an active treatment but have no other options available to them. We believe these data, taken together with the observed favorable safety and tolerability of the combination, provide a rationale to move the belapectin program in oncology forward.</w:t>
      </w:r>
    </w:p>
    <w:p>
      <w:pPr>
        <w:spacing w:after="0" w:line="19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Late in 2021, we engaged three noted physicians – Dr. Chetan Bettegowda, from Johns Hopkins, and Dr. Nishant Agrawal and Dr. Ari Rosenberg, both from University of Chicago Medical Center – as consultants to help define the path forward in oncology. In consultation with our oncology experts, we have now selected the treatment of recurrent or metastatic head and neck cancer as the lead indication to pursue for belapectin in combination with an immune checkpoint inhibitor. The decision is notably based on the lack of available treatments for these patients, the limited number of therapies in development, and the resulting very high medical need. We filed an IND with FDA and are planning a phase 2 trial to be filed with the FDA oncology division, dependent in part on finding a suitable partner or obtaining financing for the trial.</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protect our intellectual property by requiring employees, consultants, and any third parties with access to our proprietary information to execute confidentiality agreements and by restricting access to that information.</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belapectin and will expire in December 2031. Claims include multiple routes of administration, including intravenous, subcutaneous and oral. The application also covers therapeutic formulations for use in the treatment of MASH (fatty liver disease), cancer and fibrotic, inflammatory 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belapectin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83"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belapectin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belapectin for use in patients with liver fibrosis in combination with other potential therapeutic agents. The patent covers use of belapectin with agents directed at multiple targets, some of which are currently in clinical development for fibrotic disorders including monoclonal antibodies to connective tissue growth factor, integrins, and TGF-ß1. The patent, assigned U.S. Patent No. 8,722,645, was issued May 13, 2014.</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belapectin is covered by this patent and it provides opportunities for development of additional compounds in the class.</w:t>
      </w:r>
    </w:p>
    <w:p>
      <w:pPr>
        <w:spacing w:after="0" w:line="19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Galectin Therapeutics Inc. held 20 granted U.S. patents, 97 foreign granted, and 1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many of our United States patents span out to 2034 before considering any potential extensions. We have corresponding patent applications pending in various territories where we see potential for commercial interest. Additionally, we have patent applications in other areas to utilize our carbohydrate-based compounds to treat disease other than cancer. See “Risk Factors — Risks Related to Our Intellectual Property”. Our competitive position, in part, is contingent upon protection of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2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primary focus is on the design and testing of agents that target galectins in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We do not anticipate building additional in-house research or development facilities or hiring significantly additional staff other than for purposes of designing and managing our out-sourced research and development activities.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our expenditures for research and development were $14.3 million and $36.6 million, respectively. We expense all research and development costs as they are incurred.</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6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Using computer molecular modeling techniques coupled with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screening of a variety of compound libraries, SBH Sciences had identified several small organic molecules with promising galectin-3 inhibitory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disease models of fibrosis and cancer in which galectins play a key role. Several patent applications have been filed to protect the various series of compounds discovered by these efforts.</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follow-on compounds to our first in class galectin inhibitors, belapectin and GM-CT-01. These efforts have identified several potential compounds which are continuing to be explored to identify lead molecules that may be identified for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Marketing</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We are a development stage Company at this time and do not intend to establish internal facilities for the manufacture of our products for clinical or commercial production. To have our products manufactured, we have 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 Additionally, belapectin is manufactured as a sterile liquid formulation. We have experienced, and may experience in the future, certain delays related to global supply chain issues with certain components necessary to manufacture belapectin.</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Because our products are in the development stage, we have not created a sales and marketing staff to commercialize pharmaceutical products. If we develop products eligible for commercial sale, we will need to develop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3"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Approval Process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Drugs may not be marketed in the U.S. until the FDA has approved them. The steps required before a drug may be marketed in the U.S. include: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for human clinical testing,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well-controlled human clinical trials to establish the safety and efficacy of the drug for each indication,</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NDA,</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a trademark used in connection with a pharmaceutical.</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9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Priority Review</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right="360" w:firstLine="648"/>
        <w:spacing w:after="0" w:line="270" w:lineRule="auto"/>
        <w:rPr>
          <w:sz w:val="20"/>
          <w:szCs w:val="20"/>
          <w:color w:val="auto"/>
        </w:rPr>
      </w:pPr>
      <w:r>
        <w:rPr>
          <w:rFonts w:ascii="Times New Roman" w:cs="Times New Roman" w:eastAsia="Times New Roman" w:hAnsi="Times New Roman"/>
          <w:sz w:val="17"/>
          <w:szCs w:val="17"/>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the United States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increase our expense or delay our completion of research or manufacturing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As of February 28, 2026, we had nine full-time employees, six of whom are involved primarily in management of our research and development and clinical trials and three who were involved primarily in management and administration of our Company. We also utilize several contractors and consultants who provide product development, manufacture, analytical testing, clinical trial expertise, regulatory, and clinical trial support.</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or any other websites is not a part of, nor is it incorporated by reference into,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to date and must raise additional capital in order to continue to operate.</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incurred net losses in each year of operation since our inception in July 2000 and have no revenues. Our accumulated deficit as of December 31, 2025 was $431 million. We had $17.7 million of unrestricted cash as of December 31, 2025 and $10 million of available borrowings under a line of credit provided by our chairman. The Company believes there is sufficient cash, including the $10 million under the line of credit, to fund currently planned operations through April 2027. We will require more cash to fund our operations after April 2027. There can be no assurance that we will be successful in obtaining such new financing or, if available, that such financing will be on terms favorable to us.</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may raise capital through public or private equity financings, partnerships, debt financings, bank borrowings, or other sources. Additional funding may not be available on favorable terms or at all. Through his investments in the Company, Mr. Uihlein has been a critical source of funding via equity and debt financings.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significantly dependent on Mr. Uihlein for financing, and there is no assurance that he will continue to provide funding.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Uihlein, the chairman of our board of directors, has been instrumental in providing the Company with debt and equity financing since 2012. As of December 31, 2025, Mr. Uihlein has provided us with a line of credit and has made significant equity investments in the Company. We have relied heavily on Mr. Uihlein's financial support to fund our operations, including our NAVIGATE clinical trial and ongoing operating expenses. Mr. Uihlein is under no contractual obligation to provide additional financing to the Company beyond his existing commitments, and there can be no assurance that he will continue to provide funding in the future. If Mr. Uihlein is unable or unwilling to provide additional financing when needed, we may be unable to secure alternative financing on acceptable terms, or at all, which could require us to significantly curtail or cease our operations. Our dependence on a single individual for a substantial portion of our financing represents a significant risk to our business and financial condition.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NAVIGATE trial was our only active clinical trial.</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December 2024, we presented top-line results of the NAVIGATE clinical trial. The composite endpoint did not reach statistical significance. Because the data from the NAVIGATE clinical trial did not reach statistical significance, we may determine not to conduct an additional clinical trial to test the efficacy of our drug candidate, belapectin. In December 2025, we announced that we will pursue a follow-up Type C meeting with the FDA to finalize remaining components of the next clinical trial design. However, we are only in the preliminary process of advancing belapectin towards clinical development in a pivotal Phase 3 clinical trial, and we cannot provide any certainty that a Phase 3 clinical trial will be attempted or completed. A Phase 3 clinical trial would require substantial additional funding, regulatory alignment with the FDA, successful resolution of trial design issues, and other factors that are uncertain at this time. There can be no assurance that we will be able to secure the necessary financing, reach agreement with the FDA on trial design, or successfully execute a Phase 3 clinical trial even if we determine to pursue one.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from time to time faced substantial doubt about our ability to continue as a going concern.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2025, we experienced net losses of $29.7 million, had no revenue from operations, and used $23.9 million in cash to fund our operations. Although management believes that we have sufficient cash to cover operating expenses requiring cash for a period of 12 months from the date of this annual report on Form 10-K, we have from time to time faced periods where there was substantial doubt as to our ability to continue as a going concern. Based on current projections, we anticipate that our existing cash resources will be sufficient to fund operations through April 2027. However, we may face liquidity challenges thereafter if we are unable to raise additional capital or generate sufficient revenue from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development stage company and have not yet generated any revenue.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 development stage company and have not generated any revenues to date. There is no assurance that we will obtain FDA approval of belapectin or other products that we may develop, and, even if we do so, that we will generate revenue sufficient to become profitable. Our failure to generate revenue and profit would likely lead to loss of your investment.</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will depend upon our ability to successfully commercialize products, including our lead product candidate, or other product 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183" w:lineRule="exact"/>
        <w:rPr>
          <w:sz w:val="20"/>
          <w:szCs w:val="20"/>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development activities, including the necessary clinical trials;</w:t>
      </w:r>
    </w:p>
    <w:p>
      <w:pPr>
        <w:spacing w:after="0" w:line="225" w:lineRule="exact"/>
        <w:rPr>
          <w:rFonts w:ascii="Times New Roman" w:cs="Times New Roman" w:eastAsia="Times New Roman" w:hAnsi="Times New Roman"/>
          <w:sz w:val="18"/>
          <w:szCs w:val="18"/>
          <w:color w:val="auto"/>
        </w:rPr>
      </w:pPr>
    </w:p>
    <w:p>
      <w:pPr>
        <w:ind w:left="860" w:right="20" w:hanging="488"/>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new drug applications, or NDAs, to the U.S. Food and Drug Administration, or FDA, and obtain regulatory approval for indications for which there is a commercial market;</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all required regulatory agency inspections;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our products;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commercial quantities of our products at acceptable cost levels;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distribution partners to help us market, sell and distribute our approved products in other markets; and</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 parties, including government and private payers.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72"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success of our lead product candidate, belapectin, and we cannot be certain that our product candidates will receive regulatory approval or be successfully commercialized.</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obtain FDA approval, we will need to conduct one or more Phase 3 clinical trial for belapectin; however, we cannot assure you that we will be able to finance Phase 3 trials. Additionally, we cannot assure you that our future trials will yield successful results, that they will lead to the generation of revenue, or that we will obtain regulatory approval in other countries.</w:t>
      </w:r>
    </w:p>
    <w:p>
      <w:pPr>
        <w:spacing w:after="0" w:line="17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Pre-clinical studies and clinical trials are expensive, time-consuming and ultimately may not be successful. The results of pre-clinical and initial clinical testing of these products may not necessarily indicate the results that will be obtained from later or more extensive testing. Also, it is possible to suffer significant setbacks in advanced clinical trials, even after obtaining promising results in earlier trials. For example, although there was positive data from our NASH-CX Phase 2 trial for belapectin, it did not meet its primary endpoint. Similarly, our Phase 2a pilot trial NASH-FX for patients with advanced fibrosis, which explored three non-invasive imaging technologies, did not meet its primary endpoint. Top-line results from the NAVIGATE trial were presented in December 2024. Again, while there was positive data, especially in the 2 mg cohort, the composite endpoint did not reach statistical significance.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we may be unable to commercialize our product candidates.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Even if belapectin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third parties for clinical trial design, execution, and manufacturing, and their failure to perform could adversely affect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contract with independent parties to assist us in the design of trial protocols, arrange for and monitor clinical trials, provide lab kits, collect and analyze data and samples. We have contracted with Covance (now known as Fortrea) for assistance with the design and conduct of our NAVIGATE trial. Our dependence on independent parties and clinical sites involves risks including reduced control over the timing and other aspects of our clinical trials. In addition, we do not have, and do not intend to develop, facilities for the manufacture of any of our products, including belapectin, for clinical or commercial production. We are not a party to any long-term agreement with any of our suppliers, and we have our products manufactured on a purchase-order basis from one of two primary suppliers. We expect to depend on contract manufacturers to supply us with products manufactured in compliance with standards imposed by the FDA and foreign regulators. If any of these third parties fail to perform their obligations, experience delays, or fail to meet regulatory requirements, our clinical trials and business could be materially adversely affected.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reliance on third parties for manufacturing belapectin.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do not have, and do not now intend to develop, facilities for the manufacture of any of our products, including belapectin, for clinical or commercial production. At this time, we are not a party to any long-term agreement with any of our suppliers, and accordingly, we have our products manufactured on a purchase-order basis. We will require additional third-party manufacturing suppliers for belapectin.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pre-clinical and clinical liability risks which could place a financial burden upon us, should we be sued, because we do not currently have product liability insurance beyond our general insurance coverage.</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pre-clinical, clinical liability and other liability risks that are inherent in the testing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 Because we do not currently have any FDA-approved products or formulations, we do not currently have any product liability insurance covering commercialized products.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insurance coverage that may be obtained by us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biotechnology and pharmaceutical industries.</w:t>
      </w:r>
    </w:p>
    <w:p>
      <w:pPr>
        <w:spacing w:after="0" w:line="229"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 and remain competitive.</w:t>
      </w:r>
    </w:p>
    <w:p>
      <w:pPr>
        <w:spacing w:after="0" w:line="15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 Our resources are limited and we may experience technical challenges inherent in such technologies. Our competitors may develop drugs that are safer, more effective and less costly than our proposed products and, therefore, present a serious competitive threat to 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lack of operating experience may cause us difficulty in managing our growth.</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key individuals to develop our products and core technologies and pursue collaborative relationships.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highly dependent on our current base of a few employees and external consultants. These individuals, among other things, design and lead our pre-clinical and clinical studies, as well as our U.S. and European regulatory processes. With little or no redundancy in our personnel, the loss of any personnel or failure to attract or retain other key personnel and consultants could result in a loss of experience and accumulated knowledge and prevent us from developing our products and core technologies and pursuing collaborative relationships.</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comply with our reporting and other requirements under federal securities laws.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179" w:lineRule="exact"/>
        <w:rPr>
          <w:sz w:val="20"/>
          <w:szCs w:val="20"/>
          <w:color w:val="auto"/>
        </w:rPr>
      </w:pPr>
    </w:p>
    <w:p>
      <w:pPr>
        <w:ind w:right="10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which, if not remediated, could result in material misstatements in our financial statements.</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described in Item 9A of this Annual Report, our management identified a material weakness in our internal control over financial reporting related to the valuation of derivative liabilities associated with contingent interest on convertible notes payable.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the material weakness did not result in any misstatement in our consolidated financial statements, we cannot assure you that additional material weaknesses will not arise in the future or that we will be able to remediate the identified material weakness in a timely manner. If we are unable to remediate this material weakness, or if we identify additional material weaknesses in our internal control over financial reporting, we may not be able to accurately or timely report our financial condition or results of operations, which could cause investors to lose confidence in our financial reporting, negatively affect the trading price of our common stock, and adversely impact our ability to access capital markets. Additionally, ineffective internal control over financial reporting could expose us to an increased risk of fraud or misuse of corporate assets, subject us to regulatory investigations and civil or criminal sanctions and cause us to incur substantial costs in complying with legal and regulatory requirements.</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conduct Phase 3 clinical trials or other clinical trials we will need sufficient cash resources to conduct those undertakings. We will also need to obtain sufficient dosages of belapectin for such trials. Manufacturing of belapectin is performed by third parties on a contract basis and production is ongoing to generate what we believe are sufficient quantities of belapectin for our NAVIGATE or other clinical trials. Manufacturing could become delayed due to circumstances beyond our control which could delay any clinical trials. Further because of limited resources, we have curtailed most of our expenditures in research focused on the development of an oral galectin inhibitor to replace our current drug candidate that is delivered via infusion.</w:t>
      </w:r>
    </w:p>
    <w:p>
      <w:pPr>
        <w:spacing w:after="0" w:line="17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any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regulatory approvals to commercialize our products.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regulatory approval in the United States of any drugs we may develop, we will remain subject to continuing regulatory review, including the review of adverse drug experiences and clinical results that are 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3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timing of clinical trials may vary significantly over the life of a project owing to the following non-exclusive reasons:</w:t>
      </w:r>
    </w:p>
    <w:p>
      <w:pPr>
        <w:spacing w:after="0" w:line="225" w:lineRule="exact"/>
        <w:rPr>
          <w:sz w:val="20"/>
          <w:szCs w:val="20"/>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clinical trials;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 is conducted;</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and ability to enroll eligible patients;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to us in a timely manner;</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product candidates having different chemical and pharmacological properties in humans than in lab testing;</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suspend or terminate our clinical trials;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drug product candidates or other necessary materials to conduct our trials;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engaging IRBs to oversee trials or in obtaining and maintaining IRB approval of studies;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 candidate;</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obtaining regulatory approvals; and</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data may be negative, inconclusive, or subject to varying interpretations, and our product candidates may cause undesirable side effects, any of which could delay, limit, or prevent regulatory approval.</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Data obtained from pre-clinical studies and clinical trials do not necessarily predict the results that will be obtained from later studies or trials, and may be negative or inconclusive. A number of companies in the pharmaceutical industry have suffered significant setbacks in advanced clinical trials, even after obtaining promising results in earlier trials. Despite the results reported in some of our earlier clinical trials for belapectin, our clinical trials may not demonstrate sufficient levels of safety and efficacy necessary to obtain regulatory approvals for our drugs. In addition, undesirable side effects caused by our product candidates could cause us or regulatory authorities to interrupt, delay, or halt clinical trials and could result in a more restrictive label or the delay or denial of regulatory approval. Although we are not currently aware of any undesirable side effects caused by our product candidates, it is possible that they may be identified in the clinical trial process. If our clinical trials do not produce favorable results, or if safety or toxicity issues arise, we may not receive approval to market any product candidates, which could prevent us from ever generating revenues or achieving profitability. Even after approval, if undesirable side effects are later identified, we may be forced to suspend marketing, regulatory authorities may withdraw approvals or require additional warnings, we may be required to conduct post-market studies, we could be sued for harm caused to patients, and our reputation may suffer. The failure to adequately demonstrate the safety and effectiveness of our product candidates could delay or prevent regulatory clearance and materially harm our business.</w:t>
      </w:r>
    </w:p>
    <w:p>
      <w:pPr>
        <w:spacing w:after="0" w:line="3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international jurisdictions would prevent our product candidates from being marketed abroad.</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position depends upon protection of our intellectual property, and we may be unable to adequately protect our proprietary rights.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Development and protection of our intellectual property are critical to our business. Our success depends on our ability to obtain patent protection for our products or processes in the U.S. and other countries, protect trade secrets, and prevent others from infringing on our proprietary rights. If we do not adequately protect our intellectual property, competitors may be able to practice our technologies. The patent positions of pharmaceutical and biotechnology companies can be highly uncertain and involve complex legal and factual questions. No consistent policy regarding the breadth of claims allowed in biotechnology patents has emerged in the United States, and the situation outside the United States is even more uncertain. Changes in patent laws or their interpretation may diminish the value of our intellectual property. The degree of future protection for our proprietary rights is uncertain because legal means afford only limited protection. For example, others may be able to make competitive compounds not covered by our patents; we might not have been the first to make or file for the inventions in our pending applications; our pending applications may not result in issued patents; and the patents of others may adversely affect our business. We also rely on trade secrets to protect our technology where patent protection is not appropriate or obtainable. However, trade secrets are difficult to protect, and our competitors may independently develop equivalent knowledge or know-how.</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from intellectual property litigation, and we may be unable to protect or use our technology.</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Some or all of our patent applications may not issue as patents, or the claims of any issued patents may not afford meaningful protection. Patents issued to us may be challenged and subsequently narrowed, invalidated, or circumvented. Patent litigation is widespread in the biotechnology industry and could harm our business. If we choose to enforce our patents, that individual or company would have the right to ask the court to rule that such patents are invalid or should not be enforced. These lawsuits are expensive, and we may not have the resources to pursue such litigation. In addition, third parties may claim that we are infringing their patents and may go to court to stop us from making or selling our product candidates. The biotechnology industry has produced a proliferation of patents, and it is not always clear which patents cover various types of products or methods of use. If we are sued for patent infringement, we would need to demonstrate that our products do not infringe or that the patent claims are invalid, which is difficult and expensive. Our competitors may be able to sustain the costs of complex patent litigation more effectively than we can because they have substantially greater resources. Any litigation could have a material adverse effect on our ability to raise funds necessary to continue operations. We must also comply with various procedural, documentary, and fee payment requirements imposed by patent agencies, and noncompliance can result in abandonment or lapse of patent rights.</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registrations, confidentiality agreements, and trade secret protections may be inadequate to protect our intellectual property.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trademark applications may not be allowed for registration, and our registered trademarks may not be maintained or enforced. Opposition or cancellation proceedings may be filed against our applications or registrations. Failure to secure trademark registrations could adversely affect our ability to market our product candidates. In addition, we rely on confidentiality agreements with employees, consultants, and corporate partners to protect our trade secrets and unpatented know-how. However, these agreements may not be honored and may not effectively assign intellectual property rights to us. Enforcing a claim that a party illegally obtained and is using our trade secrets is difficult, expensive, and time-consuming, and the outcome is unpredictable. Courts outside the United States may be less willing to protect trade secrets. The failure to obtain or maintain trade secret protection could adversely affect our competitive position. We may also be subject to claims that our employees have wrongfully used or disclosed trade secrets of their former employers, and even if we are successful in defending against such claims, litigation could result in substantial costs and be a distraction to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and Cybersecurity</w:t>
      </w:r>
    </w:p>
    <w:p>
      <w:pPr>
        <w:spacing w:after="0" w:line="2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information technology and our systems and infrastructure face certain risks, including from cybersecurity breaches and data leakage.</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rely extensively on information technology systems, networks and services that are managed, hosted and provided by third-parties or their vendors, to assist in conducting our business. A significant breakdown, invasion, corruption, destruction or interruption of critical information technology systems or infrastructure, by our personnel or others with authorized access to our systems or unauthorized persons could negatively impact our operations. The ever-increasing use and evolution of technology, including cloud-based computing, creates opportunities for the unintentional dissemination or intentional destruction or modification of confidential information stored in our, or our third-party providers’ systems, portable media or storage devices. We could also experience a business interruption, theft of confidential information or reputational damage from malicious cyber-attacks, which may compromise our system infrastructure or lead to data leakage, either internally or at our third-party providers. We have observed an increase in cybersecurity incidents across the industry, predominantly ransomware and social engineering attacks. As the cyber-threat landscape evolves, these attacks are growing in frequency, sophistication and intensity, and due to the nature of some of these attacks, there is also a risk that they may remain undetected for a period of time. There can be no assurance that we will be able to prevent breakdowns or breaches to our or our third-party providers’ databases or systems that could adversely affect our business.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could fluctuate significantly in response to various factors and events, including but not limited to:</w:t>
      </w:r>
    </w:p>
    <w:p>
      <w:pPr>
        <w:spacing w:after="0" w:line="225" w:lineRule="exact"/>
        <w:rPr>
          <w:sz w:val="20"/>
          <w:szCs w:val="20"/>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pre-clinical studies and clinical trials, including interim results, as well as those of our competitors;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operations, technology, products and services;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below expectations;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securities, including debt or equity or a combination thereof, which may be necessary to fund our operating expenses and the cost of our clinical trials;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products by us or our competitors;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 including, without limitation, changes in healthcare policies or practices or third-party reimbursement policies;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860" w:right="20" w:hanging="488"/>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active trading market in our common stock develops and is maintained;</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and retention of senior management needed for our clinical trials; and</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and unforeseen market forces and trading strategies, such as the massive short squeeze rally caused by retail investors so-called “meme stocks.”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the market price for securities of pharmaceutical and biotechnology companies historically has been highly volatile, and the securities markets have from time-to-time experienced significant price and volume fluctuations that are unrelated to the operating performance of particular companies. These broad market fluctuations may cause the market price of our common stock to decline substantially.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15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59"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Our articles of incorporation authorize the issuance of capital stock including 20,000,000 authorized undesignated shares (all have been designated as of December 31, 2022), and empowers our board of directors to 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in the event that additional undesignated shares are authorized under our charter documents, our board of directors may designate and issue additional shares or series of preferred stock that would rank senior to the shares of common stock as to dividend rights or rights upon our liquidation, winding-up, or dissolution.</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15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if and when we have 200 or more stockholders of record, we are subject to the “business combinations” provisions of the Nevada Revised Statutes, or NRS. These provisions 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common stock, which might dilute the net tangible book value per share of our common stock.</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may engage in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the common stock may cause the price of our common stock to decline.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which includes the offer and sell shares of our common stock having an aggregate offering price of up to $35,967,000 from time to time pursuant to our At The Market Issuance Sales Agreement with H.C. Wainwright &amp; Co., LLC.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92" w:lineRule="exact"/>
        <w:rPr>
          <w:sz w:val="20"/>
          <w:szCs w:val="20"/>
          <w:color w:val="auto"/>
        </w:rPr>
      </w:pPr>
    </w:p>
    <w:p>
      <w:pPr>
        <w:jc w:val="both"/>
        <w:ind w:right="200"/>
        <w:spacing w:after="0" w:line="258" w:lineRule="auto"/>
        <w:rPr>
          <w:sz w:val="20"/>
          <w:szCs w:val="20"/>
          <w:color w:val="auto"/>
        </w:rPr>
      </w:pPr>
      <w:r>
        <w:rPr>
          <w:rFonts w:ascii="Times New Roman" w:cs="Times New Roman" w:eastAsia="Times New Roman" w:hAnsi="Times New Roman"/>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cash dividends on our common stock in the past and do not expect to pay cash dividends in the foreseeable future.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appreciates.</w:t>
      </w: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shares of common stock have been thinly traded, so you may be unable to sell at or near ask prices or even at all if you need to sell your shares to raise money or otherwise desire to liquidate your shares.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our common stock will develop or be sustained. Our common stock is currently traded on The NASDAQ Capital Market and experiences periods when it is considered “thinly-traded.” This situation may be attributable to several factors, including the fact that we are a small company that is relatively unknown to stock analysts, stockbrokers, institutional investors and others in the investment community that generate or influence sales volume. Furthermore, even if our stock came to the attention of such persons, they may be reluctant to follow us or purchase or recommend the purchase of our shares. Therefore,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significant percentage of our outstanding stock is held by a limited number of investors, including Richard E. Uihlein. Mr. Uihlein, the chairman of our board of directors, who beneficially owns approximately 15.7% of our outstanding common stock as of February 28, 2026 (which does not include any shares issuable upon exercise of options and warrants nor shares issuable upon conversion of convertible notes and lines of credit) and the 10X Fund, LP, which now owns 8.5% of the issued and outstanding shares of common stock of the Company as of February 28, 2026.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189" w:lineRule="exact"/>
        <w:rPr>
          <w:sz w:val="20"/>
          <w:szCs w:val="20"/>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or defeat the election of our directors;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prevent amendment of our certificate of incorporation or bylaws;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or prevent a merger, sale of assets or other corporate transaction; and</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control the outcome of any other matter submitted to our stockholders for vote.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5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15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Richard E. Uihlein and/or 10X Fund could sell or transfer a substantial number of shares of our common stock, which could depress the price of our securities or result in a change in control of our company.</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pandemic similar to the COVID-19 pandemic could adversely impact our business, including our preclinical studies and clinical trials.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 pandemic similar to the COVID-19 pandemic could severely impact our business and our clinical trials including:</w:t>
      </w:r>
    </w:p>
    <w:p>
      <w:pPr>
        <w:spacing w:after="0" w:line="225" w:lineRule="exact"/>
        <w:rPr>
          <w:sz w:val="20"/>
          <w:szCs w:val="20"/>
          <w:color w:val="auto"/>
        </w:rPr>
      </w:pPr>
    </w:p>
    <w:p>
      <w:pPr>
        <w:ind w:left="860" w:hanging="488"/>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clinical trials;</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non-clinical experiments due to unforeseen circumstances at contract research organizations and vendors along their supply chain;</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a contagious illness, being forced to quarantine, or not accepting in office or home health visits;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left="860" w:hanging="488"/>
        <w:spacing w:after="0" w:line="266"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(particularly any procedures that may be deemed non-essential), which may impact the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 which may impact review and approval timelines;</w:t>
      </w:r>
    </w:p>
    <w:p>
      <w:pPr>
        <w:spacing w:after="0" w:line="161" w:lineRule="exact"/>
        <w:rPr>
          <w:rFonts w:ascii="Times New Roman" w:cs="Times New Roman" w:eastAsia="Times New Roman" w:hAnsi="Times New Roman"/>
          <w:sz w:val="18"/>
          <w:szCs w:val="18"/>
          <w:color w:val="auto"/>
        </w:rPr>
      </w:pPr>
    </w:p>
    <w:p>
      <w:pPr>
        <w:ind w:left="860" w:right="20" w:hanging="488"/>
        <w:spacing w:after="0" w:line="282"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 and</w:t>
      </w:r>
    </w:p>
    <w:p>
      <w:pPr>
        <w:spacing w:after="0" w:line="161"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the desire of employees to avoid contact with large groups of people, an increased reliance on working from home or mass transit disruptions.</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the trading prices for our common stock and other biopharmaceutical companies could experience extreme volatility during a pandemic. The extent to which a pandemic may impact our business, preclinical studies and clinical trials will depend on factors that we cannot predict or control, such as the ultimate geographic spread of the disease, the duration of the outbreak, travel restrictions and actions to contain the outbreak or treat its impact, such as social distancing and quarantines or lock-downs in the United States and other countries, business closures or business disruptions and the effectiveness of actions taken in the United States and other countries to contain and treat the disease.</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We have policies and processes designed to protect our information technology systems, which are managed by outside consultants. Our cybersecurity consultants resolve issues in a timely manner in the event of a cybersecurity threat or incident.</w:t>
      </w:r>
    </w:p>
    <w:p>
      <w:pPr>
        <w:spacing w:after="0" w:line="16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part of our broader risk management framework, from time to time, we seek to identify potential cybersecurity risks to our business and improve our policies and processes to address such risks. We have designed our business applications to minimize the impact that cybersecurity incidents could have on our business and have identified back-up systems where appropriate. We seek to further mitigate cybersecurity risks through a combination of monitoring and detection activities, use of anti-malware applications, employee training, quality reviews and communication and reporting structures, among other processes. We have an incident response plan in place that outlines containment, eradication and recovery plans in the event of a cybersecurity threat or incident.</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engage a third-party consultant to assist us with designing controls and our cybersecurity risk management framework. We are also engaging with a third party to perform penetration testing. We also retain third parties to assist with the monitoring and detection of cybersecurity threats and responding to any cybersecurity threats or incidents.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With respect to third parties that manage or use our information technology or data, we obtain reports to assess the security of their systems and processes. We engage in ongoing monitoring of third-party providers to ensure compliance with our cybersecurity standards.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encountered cybersecurity threats or incidents that have had a material impact on our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227"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Our Nomination and Corporate Governance Committee has specific oversight responsibility for cybersecurity The Nomination and Corporate Governance Committee reviews and discusses with management our policies, practices and risks related to information security and cybersecurity.</w:t>
      </w:r>
    </w:p>
    <w:p>
      <w:pPr>
        <w:spacing w:after="0" w:line="140"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Our chief financial officer has primary responsibility for assessing, monitoring and managing cybersecurity risks. We utilize cybersecurity consultants to monitor and report cybersecurity threats or incidents to our chief financial officer and to resolve issues arising from such threats or incidents.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chief financial officer updates the Nomination and Corporate Governance Committee on any risks related to cybersecurity as needed.</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lease 3,610 square feet for our executive offices located at 4960 Peachtree Industrial Blvd., Norcross, GA. We also lease on a month-to-month basis approximately 300 square feet in Natick, MA, for use by research and development employees and which is collocated with one of our research and development service vendors. We believe these spaces are suitable for our present operations.</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began trading on The NASDAQ Capital Market under the symbol GALT effective March 23, 2012.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Common Stock</w:t>
      </w:r>
    </w:p>
    <w:p>
      <w:pPr>
        <w:spacing w:after="0" w:line="229" w:lineRule="exact"/>
        <w:rPr>
          <w:sz w:val="20"/>
          <w:szCs w:val="20"/>
          <w:color w:val="auto"/>
        </w:rPr>
      </w:pPr>
    </w:p>
    <w:p>
      <w:pPr>
        <w:jc w:val="both"/>
        <w:ind w:right="720" w:firstLine="648"/>
        <w:spacing w:after="0" w:line="312" w:lineRule="auto"/>
        <w:rPr>
          <w:sz w:val="20"/>
          <w:szCs w:val="20"/>
          <w:color w:val="auto"/>
        </w:rPr>
      </w:pPr>
      <w:r>
        <w:rPr>
          <w:rFonts w:ascii="Times New Roman" w:cs="Times New Roman" w:eastAsia="Times New Roman" w:hAnsi="Times New Roman"/>
          <w:sz w:val="17"/>
          <w:szCs w:val="17"/>
          <w:color w:val="auto"/>
        </w:rPr>
        <w:t>As of February 28, 2026, there were 126 shareholders of record of our common stock. Because shares of our common stock are held by depositaries, brokers and other nominees, the number of beneficial holders of our shares is substantially larger than the number of record holders.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March 2027;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197" w:lineRule="exact"/>
        <w:rPr>
          <w:sz w:val="20"/>
          <w:szCs w:val="20"/>
          <w:color w:val="auto"/>
        </w:rPr>
      </w:pPr>
    </w:p>
    <w:p>
      <w:pPr>
        <w:ind w:left="860" w:hanging="488"/>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early stage of development;</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Mr. Uihlein for financing;</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NAVIGATE trial was our only active clinical trial, and we currently do not have plans or funding to undertake another clinical trial;</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from time to time faced substantial doubt about our ability to continue as a going concern;</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since our inception and cannot assure you that we will generate revenue or profit;</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additional outside capital;</w:t>
      </w:r>
    </w:p>
    <w:p>
      <w:pPr>
        <w:spacing w:after="0" w:line="225" w:lineRule="exact"/>
        <w:rPr>
          <w:rFonts w:ascii="Times New Roman" w:cs="Times New Roman" w:eastAsia="Times New Roman" w:hAnsi="Times New Roman"/>
          <w:sz w:val="18"/>
          <w:szCs w:val="18"/>
          <w:color w:val="auto"/>
        </w:rPr>
      </w:pPr>
    </w:p>
    <w:p>
      <w:pPr>
        <w:ind w:left="860" w:right="20" w:hanging="488"/>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enter into strategic partnerships for the development, commercialization, manufacturing and distribution of our proposed product candidates;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any litigation;</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related to our technology and clinical trials, including expected dates of availability of clinical data;</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the efficacy and safety of our developmental product candidates in human trials;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improve upon, protect and/or enforce our intellectual property;</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161"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stock price volatility in the biotechnology industry;</w:t>
      </w:r>
    </w:p>
    <w:p>
      <w:pPr>
        <w:spacing w:after="0" w:line="22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trading volume for our stock, concentration of ownership of our stock, and other risks detailed herein and from time to time in our SEC reports; and</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widespread pandemic and its potential impact, which could delay clinical trial and development efforts, as well as the impact that such a pandemic has on the volatility of the capital market and our ability to access the capital market.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engaged in drug research and development to create new therapies for fibrotic disease, cancer and selected other diseases.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 proteins have a demonstrated role in the pathogenesis of a given disease. We focus on diseases with serious, life-threatening consequences and those where current treatment options are limited specifically in metabolic dysfunction-associated steatohepatitis (MASH, formerly known as nonalcoholic steatohepatitis, or NASH) with cirrhosis and certain cancer indications. Our strategy is to establish and implement clinical development programs that add value to our business in the shortest period of time possible and to seek strategic partners when one of our programs becomes advanced and requires significant additional resources.</w:t>
      </w:r>
    </w:p>
    <w:p>
      <w:pPr>
        <w:spacing w:after="0" w:line="1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lead galectin-3 inhibitor is belapectin (GR-MD-02), which has been demonstrated in preclinical models to reverse liver fibrosis and cirrhosis and in clinical studies to decrease portal hypertension and prevent its complication: the development of esophageal varices. Belapectin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galectin-3 gene “knocked-out” can no longer develop fibrosis in response to experimental stimuli compared to animals with an intact galectin-3 gene. We are using our galectin-3 inhibitor to treat advanced liver fibrosis and liver cirrhosis in MASH patients. We have completed two Phase 1 clinical studies, a Phase 2 clinical study in MASH patients with advanced fibrosis (NASH-FX) and a second Phase 2b clinical trial in MASH patients with compensated cirrhosis and portal hypertension (NASH-CX).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2025 and 2024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24"/>
                <w:szCs w:val="24"/>
                <w:color w:val="auto"/>
              </w:rPr>
            </w:pPr>
          </w:p>
        </w:tc>
        <w:tc>
          <w:tcPr>
            <w:tcW w:w="25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2025 as Compared to</w:t>
            </w: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(22,281)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19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3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194"/>
        </w:trPr>
        <w:tc>
          <w:tcPr>
            <w:tcW w:w="5160" w:type="dxa"/>
            <w:vAlign w:val="bottom"/>
            <w:gridSpan w:val="2"/>
            <w:vMerge w:val="continue"/>
          </w:tcPr>
          <w:p>
            <w:pPr>
              <w:spacing w:after="0"/>
              <w:rPr>
                <w:sz w:val="16"/>
                <w:szCs w:val="16"/>
                <w:color w:val="auto"/>
              </w:rPr>
            </w:pPr>
          </w:p>
        </w:tc>
        <w:tc>
          <w:tcPr>
            <w:tcW w:w="3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37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8,313</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29,079</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3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3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5,377</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36"/>
        </w:trPr>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3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520" w:type="dxa"/>
            <w:vAlign w:val="bottom"/>
          </w:tcPr>
          <w:p>
            <w:pPr>
              <w:jc w:val="right"/>
              <w:ind w:right="2899"/>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320" w:type="dxa"/>
            <w:vAlign w:val="bottom"/>
            <w:tcBorders>
              <w:bottom w:val="single" w:sz="8" w:color="auto"/>
            </w:tcBorders>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35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Clinical programs expenses decreased in the year ended December 31, 2025 over the year ended December 31, 2024 primarily due to costs winding down related to our NAVIGATE clinical trial activities and a decrease in costs related to contract manufacturing of belapectin. Pre-clinical activities decreased due to activities incurred in support of the clinical program such as development and reproductive toxicity studies, clinical supplies and other supportive activities. Payroll and other costs decreased primarily due to fewer employees in 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2025 as</w:t>
            </w: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18"/>
                <w:szCs w:val="18"/>
                <w:color w:val="auto"/>
              </w:rPr>
            </w:pPr>
          </w:p>
        </w:tc>
        <w:tc>
          <w:tcPr>
            <w:tcW w:w="26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Compared to</w:t>
            </w: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136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5,795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2025, as compared to the same period for 2024 are due to a decrease in non-cash stock-based compensation of $301,000 offset by increases other administrative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other income and expense consisted of $126,000 of interest income offset by interest expense and amortization of debt discounts on convertible notes payable and convertible line of credit of $7,329,000 and change in fair value of derivatives of $2,378,000.</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other income and expense consisted of $338,000 of interest income offset by interest expense and amortization of debt discounts on convertible notes payable and convertible line of credit of $5,540,000 and change in fair value of derivatives of $(588,000).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from the Years Ended December 31, 2024 and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40" w:type="dxa"/>
            <w:vAlign w:val="bottom"/>
          </w:tcPr>
          <w:p>
            <w:pPr>
              <w:spacing w:after="0"/>
              <w:rPr>
                <w:sz w:val="24"/>
                <w:szCs w:val="24"/>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2024 as Compared to</w:t>
            </w: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32,130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9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and for additional toxicology studies to support advanced development, including payments to vendors for services related to product experiments and discovery, toxicology, pharmacology, metabolism and efficacy studies, as well as manufacturing process development for a drug candidate. We have two product candidates, belapectin and GM-CT-01; however only belapectin is in active development.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were as follows: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 external expenses:</w:t>
            </w:r>
          </w:p>
        </w:tc>
        <w:tc>
          <w:tcPr>
            <w:tcW w:w="260" w:type="dxa"/>
            <w:vAlign w:val="bottom"/>
          </w:tcPr>
          <w:p>
            <w:pPr>
              <w:spacing w:after="0"/>
              <w:rPr>
                <w:sz w:val="20"/>
                <w:szCs w:val="20"/>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programs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29,079</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23,942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1,084</w:t>
            </w:r>
          </w:p>
        </w:tc>
        <w:tc>
          <w:tcPr>
            <w:tcW w:w="4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Payroll and other including stock-based compensation</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6,408</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223"/>
        </w:trPr>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83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Clinical programs expenses increased in the year ended December 31, 2024 over the year ended December 31, 2023 primarily due to costs related to our NAVIGATE clinical trial activities and an increase in costs related to contract manufacturing of belapectin. Pre-clinical activities decreased due to activities incurred in support of the clinical program such as development and reproductive toxicity studies, clinical supplies and other supportive activities. Payroll and other costs increased primarily due to additional employees being hired in 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40" w:type="dxa"/>
            <w:vAlign w:val="bottom"/>
          </w:tcPr>
          <w:p>
            <w:pPr>
              <w:spacing w:after="0"/>
              <w:rPr>
                <w:sz w:val="24"/>
                <w:szCs w:val="24"/>
                <w:color w:val="auto"/>
              </w:rPr>
            </w:pPr>
          </w:p>
        </w:tc>
        <w:tc>
          <w:tcPr>
            <w:tcW w:w="26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2024 as Compared to</w:t>
            </w:r>
          </w:p>
        </w:tc>
      </w:tr>
      <w:tr>
        <w:trPr>
          <w:trHeight w:val="245"/>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58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 except %)</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5,862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2024, as compared to the same period for 2023 are due to a decrease in non-cash stock-based compensation of $206,000 offset by other administrative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other income and expense consisted of $338,000 of interest income offset by interest expense and amortization of debt discounts on convertible notes payable and convertible line of credit of $5,540,000 and change in fair value of derivatives of $(588,000).</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other income and expense consisted of $230,000 of interest income offset by interest expense and amortization of debt discounts on convertible notes payable and convertible line of credit of $2,792,000 and change in fair value of derivatives of $432,000.</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described above in the Overview and elsewhere in this Annual Report on Form 10-K, we are in the development stage and have not generated any revenues to date. Since our inception on July 10, 2000, we have financed our operations from proceeds of public and private offerings of debt and equity. As of December 31, 2025, we raised a net total of $341 million from these offerings. At December 31, 2025, the Company had $17.7 million of unrestricted cash and cash equivalents in addition to $10 million available under a line of credit provided by our chairman available to fund future operations. The Company believes there is sufficient cash, including $10 million under the line of credit, to fund currently planned operations through April 2027. We will require more cash to fund our operations after April 2027. There can be no assurance that we will be successful in obtaining such new financing or, if available, that such financing will be on terms favorable to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22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operations decreased by $17,892,000 to $23,875,000 for 2025, as compared to $41,767,000 for 2024. Cash operating expenses decreased principally due to decreased research and development activities primarily related to our NAVIGATE clinical trial and associated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2025 or 2024.</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$26,475,000 during 2025 as compared to $31,227,000 during 2024, due primarily to the transactions described below.</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2025, we received $21,000,000 in proceeds under a convertible line of credit provided by our chairman in addition to $2.3 million in proceeds from exercises of stock options and purchase warrants, and $3.2 million in net proceeds from issuance of shares under our At the Market sales program. In 2024, we received $30,000,000 in proceeds under a convertible line of credit provided by our chairman in addition to $1.2 million in proceeds from exercises of stock options and purchase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22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Net cash used in operations increased by $8,802,000 to $41,767,000 for 2024, as compared to $32,965,000 for 2023. Cash operating expenses increased principally due to increased research and development activities primarily related to our NAVIGATE clinical trial and associated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equipment purchases or other investing activities in 2024 or 2023.</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$31,227,000 during 2024 as compared to $40,033,000 during 2023, due primarily to the transactions described below.</w:t>
      </w:r>
    </w:p>
    <w:p>
      <w:pPr>
        <w:spacing w:after="0" w:line="16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2024, we received $30,000,000 in proceeds under a convertible line of credit provided by our chairman in addition to $1.2 million in proceeds from exercises of stock options and purchase warrants. In 2023, we received $30,000,000 in proceeds under a convertible line of credit provided by our chairman in addition to $10 million in proceeds from stock purchase warrants exercised by our chairman.</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In March 2025, the Company entered into an amendment to its operating lease for office space in Norcross, GA for a term of twelve months, beginning on May 1, 2025 and ending April 30, 2026 at an average rate of approximately $5,400 per month. The amended lease provided for free rent for the first six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month-to-month basis from October 1, 2013.</w:t>
      </w:r>
    </w:p>
    <w:p>
      <w:pPr>
        <w:spacing w:after="0" w:line="172" w:lineRule="exact"/>
        <w:rPr>
          <w:sz w:val="20"/>
          <w:szCs w:val="20"/>
          <w:color w:val="auto"/>
        </w:rPr>
      </w:pPr>
    </w:p>
    <w:p>
      <w:pPr>
        <w:ind w:right="240" w:firstLine="437"/>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engaged outside vendors for certain services associated with our clinical trials. These services are generally available from several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and, accordingly, our arrangements are typically cancellable on 30 days notice.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valuations and performance vesting features of certain of these instruments, accrued liabilities, derivative liabilities,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86" w:lineRule="exact"/>
        <w:rPr>
          <w:sz w:val="20"/>
          <w:szCs w:val="20"/>
          <w:color w:val="auto"/>
        </w:rPr>
      </w:pPr>
    </w:p>
    <w:p>
      <w:pPr>
        <w:ind w:firstLine="437"/>
        <w:spacing w:after="0" w:line="254" w:lineRule="auto"/>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As part of the process of preparing our consolidated financial statements, we are required to estimate accrued expenses.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20" w:firstLine="437"/>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firstLine="437"/>
        <w:spacing w:after="0" w:line="258" w:lineRule="auto"/>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Stock-based compensation cost is measured at the grant date based on the fair value of the award and is recognized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nature of our operations, assets and debt, we are not exposed to any significant market risks at December 31, 2025 and 2024.</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financial statements required by this item are attached to this Annual Report on Form 10-K beginning on Page F-1.</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2025. Our management has concluded, based on their evaluation, that our disclosure controls and procedures were not effective as of December 31, 2025 to ensure that information required to be disclosed by us in the reports we file or submit under the Exchange Act is recorded, processed, summarized and reported within the time periods specified in the Securities and Exchange Commission’s rules and forms due to the material weakness described below. In light of the material weakness described below, management performed additional analyses and other procedures to ensure that our consolidated financial statements were prepared in accordance with GAAP. Accordingly, management believes that the consolidated financial statements included in this Annual Report fairly present, in all material respects, our financial position, results of operations, and cash flows as of and for the periods presented, in accordance with GAAP.</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 Management’s Annual Report on Internal Control Over Financial Reporting</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 13a-15(f) under the Exchange Act, internal control over financial 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83" w:lineRule="exact"/>
        <w:rPr>
          <w:sz w:val="20"/>
          <w:szCs w:val="20"/>
          <w:color w:val="auto"/>
        </w:rPr>
      </w:pPr>
    </w:p>
    <w:p>
      <w:pPr>
        <w:ind w:left="1060" w:hanging="404"/>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8"/>
          <w:szCs w:val="18"/>
          <w:color w:val="auto"/>
        </w:rPr>
      </w:pPr>
    </w:p>
    <w:p>
      <w:pPr>
        <w:ind w:right="300" w:firstLine="656"/>
        <w:spacing w:after="0" w:line="266" w:lineRule="auto"/>
        <w:tabs>
          <w:tab w:leader="none" w:pos="10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75" w:lineRule="exact"/>
        <w:rPr>
          <w:rFonts w:ascii="Times New Roman" w:cs="Times New Roman" w:eastAsia="Times New Roman" w:hAnsi="Times New Roman"/>
          <w:sz w:val="18"/>
          <w:szCs w:val="18"/>
          <w:color w:val="auto"/>
        </w:rPr>
      </w:pPr>
    </w:p>
    <w:p>
      <w:pPr>
        <w:ind w:right="400" w:firstLine="656"/>
        <w:spacing w:after="0" w:line="282" w:lineRule="auto"/>
        <w:tabs>
          <w:tab w:leader="none" w:pos="10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not effective as of December 31, 2025 as a result of the material weakness discussed in the paragraphs that follow below.</w:t>
      </w:r>
    </w:p>
    <w:p>
      <w:pPr>
        <w:spacing w:after="0" w:line="188"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The Company's management concluded that the Company did not implement and maintain effective controls related to the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of derivative liabilities associated with contingent interest on convertible notes payable, specifically controls over the review of interest forecasts used in the </w:t>
      </w:r>
      <w:r>
        <w:rPr>
          <w:rFonts w:ascii="Times New Roman" w:cs="Times New Roman" w:eastAsia="Times New Roman" w:hAnsi="Times New Roman"/>
          <w:sz w:val="18"/>
          <w:szCs w:val="18"/>
          <w:i w:val="1"/>
          <w:iCs w:val="1"/>
          <w:color w:val="auto"/>
        </w:rPr>
        <w:t>valuation</w:t>
      </w:r>
      <w:r>
        <w:rPr>
          <w:rFonts w:ascii="Times New Roman" w:cs="Times New Roman" w:eastAsia="Times New Roman" w:hAnsi="Times New Roman"/>
          <w:sz w:val="18"/>
          <w:szCs w:val="18"/>
          <w:color w:val="auto"/>
        </w:rPr>
        <w:t xml:space="preserve"> of the derivative liabilities due to the extension of the maturity dates of the convertible notes payable. The deficiencies in our internal control </w:t>
      </w:r>
      <w:r>
        <w:rPr>
          <w:rFonts w:ascii="Times New Roman" w:cs="Times New Roman" w:eastAsia="Times New Roman" w:hAnsi="Times New Roman"/>
          <w:sz w:val="18"/>
          <w:szCs w:val="18"/>
          <w:i w:val="1"/>
          <w:iCs w:val="1"/>
          <w:color w:val="auto"/>
        </w:rPr>
        <w:t>over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due to the material weakness </w:t>
      </w:r>
      <w:r>
        <w:rPr>
          <w:rFonts w:ascii="Times New Roman" w:cs="Times New Roman" w:eastAsia="Times New Roman" w:hAnsi="Times New Roman"/>
          <w:sz w:val="18"/>
          <w:szCs w:val="18"/>
          <w:color w:val="auto"/>
        </w:rPr>
        <w:t>described above did not result in any</w:t>
      </w:r>
      <w:r>
        <w:rPr>
          <w:rFonts w:ascii="Times New Roman" w:cs="Times New Roman" w:eastAsia="Times New Roman" w:hAnsi="Times New Roman"/>
          <w:sz w:val="18"/>
          <w:szCs w:val="18"/>
          <w:i w:val="1"/>
          <w:iCs w:val="1"/>
          <w:color w:val="auto"/>
        </w:rPr>
        <w:t xml:space="preserve"> misstatement in our consolidated financial </w:t>
      </w:r>
      <w:r>
        <w:rPr>
          <w:rFonts w:ascii="Times New Roman" w:cs="Times New Roman" w:eastAsia="Times New Roman" w:hAnsi="Times New Roman"/>
          <w:sz w:val="18"/>
          <w:szCs w:val="18"/>
          <w:color w:val="auto"/>
        </w:rPr>
        <w:t>statements or other disclosures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an adjustment recorded which is reflected in the financial statements as presented. These deficiencies create a reasonable possibility that a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misstatement in our consolidated financial </w:t>
      </w:r>
      <w:r>
        <w:rPr>
          <w:rFonts w:ascii="Times New Roman" w:cs="Times New Roman" w:eastAsia="Times New Roman" w:hAnsi="Times New Roman"/>
          <w:sz w:val="18"/>
          <w:szCs w:val="18"/>
          <w:color w:val="auto"/>
        </w:rPr>
        <w:t>statements would not be prevented or detected on a timely basis.</w:t>
      </w:r>
    </w:p>
    <w:p>
      <w:pPr>
        <w:spacing w:after="0" w:line="18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an effort to address the identified material weakness and enhance our internal controls related to our valuation of derivative liabilities process, we continue to maintain our financial reporting process we followed to prepare consolidated financial statements in accordance with GAAP for audit committee meetings on a quarterly and annual basis. We expect to remedy this material weakness by conducting additional training, using additional third-party consultants with appropriate knowledge, experience, and/or training commensurate with our technical accounting and financial reporting requirements to enhance the process going forward, a combination thereof, or any other remedial measures that we deem appropriate. Our ongoing remediation efforts are focused on additional reviews in the event of any future potential changes to financial instruments associated with derivatives related to internal control over financial reporting.</w:t>
      </w:r>
    </w:p>
    <w:p>
      <w:pPr>
        <w:sectPr>
          <w:pgSz w:w="11900" w:h="16838" w:orient="portrait"/>
          <w:cols w:equalWidth="0" w:num="1">
            <w:col w:w="11240"/>
          </w:cols>
          <w:pgMar w:left="320" w:top="116" w:right="339" w:bottom="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 Changes in Internal Control Over Financial Reporting</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2025 that has materially affected, or is reasonably likely to materially affect, our internal control over financial reporting.</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6" w:right="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Trading Plans of Directors and Executive Officers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officers or directors, as defined in Rule 16a-1(f), adopted or terminated a “Rule 10b5-1 trading arrangement” or a “non-Rule 10b5-1 trading arrangement,” as defined in Regulation S-K Item 408, during the fiscal quarter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116" w:right="1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Each of our directors is elected annually and holds office until his or her successor has been elected and qualified or until the earlier of his or her death, resignation or removal. Our board of directors currently consists of eleven members, all of whom were elected at our 2025 Annual Meeting of Stockholders. Marc Rubin was elected to the board of directors at our Annual Meeting in December 2025; however, he resigned in January 2026. On March 12, 2026, our board of directors appointed Dr. Henry Bream as a member of the board of directors.</w:t>
      </w:r>
    </w:p>
    <w:p>
      <w:pPr>
        <w:spacing w:after="0" w:line="18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biographical information about our directors as of February 28, 2026, and the qualifications, experiences and skills considered in determining that each such person should serve as a director.</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Director Since</w:t>
            </w:r>
          </w:p>
        </w:tc>
      </w:tr>
      <w:tr>
        <w:trPr>
          <w:trHeight w:val="216"/>
        </w:trPr>
        <w:tc>
          <w:tcPr>
            <w:tcW w:w="84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 (2)(3)</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Henry Brem, M.D.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 (3)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Kary Eldred (1)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D. Freeman (1)(2)(3)</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2011</w:t>
            </w: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Joel Lewis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 (2)</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w:t>
            </w: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Elissa J. Schwartz, Ph.D. (3)</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2019</w:t>
            </w:r>
          </w:p>
        </w:tc>
      </w:tr>
      <w:tr>
        <w:trPr>
          <w:trHeight w:val="216"/>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Richard E. Uihlein, Chairman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2017</w:t>
            </w: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A. Zordani (1)</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2020</w:t>
            </w:r>
          </w:p>
        </w:tc>
      </w:tr>
      <w:tr>
        <w:trPr>
          <w:trHeight w:val="304"/>
        </w:trPr>
        <w:tc>
          <w:tcPr>
            <w:tcW w:w="50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79"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governance committee</w:t>
      </w:r>
    </w:p>
    <w:p>
      <w:pPr>
        <w:spacing w:after="0" w:line="205" w:lineRule="exact"/>
        <w:rPr>
          <w:sz w:val="20"/>
          <w:szCs w:val="20"/>
          <w:color w:val="auto"/>
        </w:rPr>
      </w:pPr>
    </w:p>
    <w:p>
      <w:pPr>
        <w:ind w:right="2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Gilbert F. Amelio, Ph.D</w:t>
      </w:r>
      <w:r>
        <w:rPr>
          <w:rFonts w:ascii="Times New Roman" w:cs="Times New Roman" w:eastAsia="Times New Roman" w:hAnsi="Times New Roman"/>
          <w:sz w:val="18"/>
          <w:szCs w:val="18"/>
          <w:color w:val="auto"/>
        </w:rPr>
        <w:t>., a director since February 2009, began his career at Bell Labs in Murray Hill, New Jersey. Since January 1, 2012,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Amelio 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14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Henry Brem, </w:t>
      </w:r>
      <w:r>
        <w:rPr>
          <w:rFonts w:ascii="Times New Roman" w:cs="Times New Roman" w:eastAsia="Times New Roman" w:hAnsi="Times New Roman"/>
          <w:sz w:val="18"/>
          <w:szCs w:val="18"/>
          <w:color w:val="auto"/>
        </w:rPr>
        <w:t>a director since 2026, is an internationally recognized neurosurgeon-scientist and leader in translational medicine. He serves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Henry Brem Professor of Neurosurgery at Johns Hopkins University and previously served from 2000 until 2025 as Director of the Department of Neurosurgery and Neurosurgeon-in-Chief at The Johns Hopkins Medical Institutions. He is also Co-Director of the Brain Cancer Program at the Sidney Kimmel Comprehensive Cancer Center. Dr. Brem has helped transform neurosurgical oncology through the development of image-guided surgical techniques and localized drug delivery systems, including Gliadel® wafers for brain tumors. He has published more than 416 peer-reviewed papers, holds multiple patents, and has been continuously funded by the NIH for over four decades. He is a member of the National Academy of Medicine and has received numerous honors recognizing his contributions to clinical excellence and translational research. Dr. Brem has served as director for multiple private and public companies. The Board believes that Dr. Brem’s extensive medical, management, director, and leadership experience make him highly qualified to serve as a member of our Board.</w:t>
      </w:r>
    </w:p>
    <w:p>
      <w:pPr>
        <w:spacing w:after="0" w:line="18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Dr. Benjamin S. Carson, Sr., </w:t>
      </w:r>
      <w:r>
        <w:rPr>
          <w:rFonts w:ascii="Times New Roman" w:cs="Times New Roman" w:eastAsia="Times New Roman" w:hAnsi="Times New Roman"/>
          <w:sz w:val="18"/>
          <w:szCs w:val="18"/>
          <w:color w:val="auto"/>
        </w:rPr>
        <w:t>a director since 2023, served as the 17th Secretary of the U.S. Department of Housing and Urban Development (“HUD”)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2017 to 2021. Dr. Carson is a world-renowned neurosurgeon who prior to serving as HUD Secretary was involved with more than 15,000 surgical procedures and was the recipient of numerous awards, including the Presidential Medal of Freedom, more than 70 honorary doctorate degrees and the Spingarn Medal, the NAACP’s highest honor. Dr. Carson serves on the Board of Directors for D.R. Horton, Inc. (NYSE: DHI), Covenant Logistics Group, Inc. (NASDAQ: CVLG), and Sinclair Broadcast Group, Inc. (NASDAQ: SBGI). In addition, Dr. Carson previously served on the Board of Directors of both The Kellogg Company (NYSE: K) and Costco Wholesale Corporation (NASDAQ: COST). Dr. Carson is the founder and current Chairman of the American Cornerstone Institute. Dr. Carson is on the Board of Directors of the Carson Scholars Fund, an organization he and his wife, Mrs. Candy Carson, founded in 1994. Throughout his distinguished career, Dr. Carson contributed to the field of medicine through the thousands of surgeries he performed and the many leadership positions he held, including serving as Director of the Division of Pediatric Neurosurgery at The Johns Hopkins Medical Institutions from 1984 to 2013 as well a Professor of Neurological Surgery, Oncology, Plastic Surgery, and Pediatrics at The Johns Hopkins Medical Institutions from 1999 to 2013. The Board believes that Dr. Carson’s extensive medical, management, director, leadership, financial, and information security experience make him highly qualified to serve as a member of our Board.</w:t>
      </w:r>
    </w:p>
    <w:p>
      <w:pPr>
        <w:spacing w:after="0" w:line="190" w:lineRule="exact"/>
        <w:rPr>
          <w:sz w:val="20"/>
          <w:szCs w:val="20"/>
          <w:color w:val="auto"/>
        </w:rPr>
      </w:pPr>
    </w:p>
    <w:p>
      <w:pPr>
        <w:ind w:right="16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Kary Eldred, </w:t>
      </w:r>
      <w:r>
        <w:rPr>
          <w:rFonts w:ascii="Times New Roman" w:cs="Times New Roman" w:eastAsia="Times New Roman" w:hAnsi="Times New Roman"/>
          <w:sz w:val="18"/>
          <w:szCs w:val="18"/>
          <w:color w:val="auto"/>
        </w:rPr>
        <w:t>is a director since 2018 and Chief Investment Officer for the Living Stones Foundation since July 2015 and has been an active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8"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Kevin D. Freeman, </w:t>
      </w:r>
      <w:r>
        <w:rPr>
          <w:rFonts w:ascii="Times New Roman" w:cs="Times New Roman" w:eastAsia="Times New Roman" w:hAnsi="Times New Roman"/>
          <w:sz w:val="18"/>
          <w:szCs w:val="18"/>
          <w:color w:val="auto"/>
        </w:rPr>
        <w:t>a director since May 2011, holds the Chartered Financial Analyst designation and is Chief Executive Officer of Cross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a director since 2017, became our President and Chief Executive Officer on September 2, 2020. Previously, he was the Managing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of Shareholder Services at Uline, Inc. (a distributor of shipping, packaging and industrial supplies), a position he held from 2007 through 2019. Mr. Lewis is a financial executive with over 26 years of experience and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8" w:lineRule="exact"/>
        <w:rPr>
          <w:sz w:val="20"/>
          <w:szCs w:val="20"/>
          <w:color w:val="auto"/>
        </w:rPr>
      </w:pPr>
    </w:p>
    <w:p>
      <w:pPr>
        <w:ind w:right="100" w:firstLine="441"/>
        <w:spacing w:after="0" w:line="253" w:lineRule="auto"/>
        <w:rPr>
          <w:sz w:val="20"/>
          <w:szCs w:val="20"/>
          <w:color w:val="auto"/>
        </w:rPr>
      </w:pPr>
      <w:r>
        <w:rPr>
          <w:rFonts w:ascii="Times New Roman" w:cs="Times New Roman" w:eastAsia="Times New Roman" w:hAnsi="Times New Roman"/>
          <w:sz w:val="18"/>
          <w:szCs w:val="18"/>
          <w:i w:val="1"/>
          <w:iCs w:val="1"/>
          <w:color w:val="auto"/>
        </w:rPr>
        <w:t>Gilbert S. Omenn, M.D., Ph.D.</w:t>
      </w:r>
      <w:r>
        <w:rPr>
          <w:rFonts w:ascii="Times New Roman" w:cs="Times New Roman" w:eastAsia="Times New Roman" w:hAnsi="Times New Roman"/>
          <w:sz w:val="18"/>
          <w:szCs w:val="18"/>
          <w:color w:val="auto"/>
        </w:rPr>
        <w:t>, a director since September 2014, served on the board of directors of Amgen Inc. for 27 years and of Rohm &amp; Haas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9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Elissa J. Schwartz, Ph.D., </w:t>
      </w:r>
      <w:r>
        <w:rPr>
          <w:rFonts w:ascii="Times New Roman" w:cs="Times New Roman" w:eastAsia="Times New Roman" w:hAnsi="Times New Roman"/>
          <w:sz w:val="18"/>
          <w:szCs w:val="18"/>
          <w:color w:val="auto"/>
        </w:rPr>
        <w:t>a director appointed by the board in September 2020, is a disease modeler who is currently a professor of biological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Dr. Schwartz is the author of over 45 scientific publications on infectious disease, the immune response, and biological modeling. She has served on the Board of Directors for the Society for Mathematical Biology, and she previously consulted for Pharmerit International, (now OPEN Health), a global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20" w:firstLine="441"/>
        <w:spacing w:after="0" w:line="252" w:lineRule="auto"/>
        <w:rPr>
          <w:sz w:val="20"/>
          <w:szCs w:val="20"/>
          <w:color w:val="auto"/>
        </w:rPr>
      </w:pPr>
      <w:r>
        <w:rPr>
          <w:rFonts w:ascii="Times New Roman" w:cs="Times New Roman" w:eastAsia="Times New Roman" w:hAnsi="Times New Roman"/>
          <w:sz w:val="18"/>
          <w:szCs w:val="18"/>
          <w:i w:val="1"/>
          <w:iCs w:val="1"/>
          <w:color w:val="auto"/>
        </w:rPr>
        <w:t>Harold Shlevin, Ph.D.</w:t>
      </w:r>
      <w:r>
        <w:rPr>
          <w:rFonts w:ascii="Times New Roman" w:cs="Times New Roman" w:eastAsia="Times New Roman" w:hAnsi="Times New Roman"/>
          <w:sz w:val="18"/>
          <w:szCs w:val="18"/>
          <w:color w:val="auto"/>
        </w:rPr>
        <w:t>, retired from being our President and Chief Executive Officer on September 2, 2020, a position he had held since June 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however, Dr. Shlevin has entered into a consulting agreement with the Company which ran through December 31, 2021.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Dr. Shlevin currently serves on the Board of Directors of Moonlight Therapeutics. We believe Dr. Shlevin’s qualifications to sit on our Board of Directors include his extensive executive leadership and management experience in the pharmaceutical industry.</w:t>
      </w:r>
    </w:p>
    <w:p>
      <w:pPr>
        <w:spacing w:after="0" w:line="195" w:lineRule="exact"/>
        <w:rPr>
          <w:sz w:val="20"/>
          <w:szCs w:val="20"/>
          <w:color w:val="auto"/>
        </w:rPr>
      </w:pPr>
    </w:p>
    <w:p>
      <w:pPr>
        <w:ind w:firstLine="441"/>
        <w:spacing w:after="0" w:line="281" w:lineRule="auto"/>
        <w:rPr>
          <w:sz w:val="20"/>
          <w:szCs w:val="20"/>
          <w:color w:val="auto"/>
        </w:rPr>
      </w:pPr>
      <w:r>
        <w:rPr>
          <w:rFonts w:ascii="Times New Roman" w:cs="Times New Roman" w:eastAsia="Times New Roman" w:hAnsi="Times New Roman"/>
          <w:sz w:val="17"/>
          <w:szCs w:val="17"/>
          <w:i w:val="1"/>
          <w:iCs w:val="1"/>
          <w:color w:val="auto"/>
        </w:rPr>
        <w:t>Richard E. Uihlein</w:t>
      </w:r>
      <w:r>
        <w:rPr>
          <w:rFonts w:ascii="Times New Roman" w:cs="Times New Roman" w:eastAsia="Times New Roman" w:hAnsi="Times New Roman"/>
          <w:sz w:val="17"/>
          <w:szCs w:val="17"/>
          <w:color w:val="auto"/>
        </w:rPr>
        <w:t>, a director since 2017 and Chairman since May 2018, co-founded Uline, Inc. (a leading distributor of shipping, packaging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64"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A. Zordani, </w:t>
      </w:r>
      <w:r>
        <w:rPr>
          <w:rFonts w:ascii="Times New Roman" w:cs="Times New Roman" w:eastAsia="Times New Roman" w:hAnsi="Times New Roman"/>
          <w:sz w:val="18"/>
          <w:szCs w:val="18"/>
          <w:color w:val="auto"/>
        </w:rPr>
        <w:t>a director appointed by the board in September 2020, has been the Director of Shareholder Services at Uline, Inc. (a distributor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SEC adopted final rules implementing the incentive-based compensation recovery provisions of the Dodd-Frank Act, and Nasdaq has adopted listing standards consistent with the SEC rules. In compliance with those standards, we have adopted an incentive compensation recoupment policy, or “clawback” policy, which applies to our executive officers, within the meaning of Section 10D of the Exchange Act and Rule 10D-1 promulgated thereunder, who were employed by the Company during the applicable recovery period. Under the policy, in the event that the financial results upon which a cash or equity-based incentive award was predicated become the subject of a financial restatement that is required because of material non-compliance with financial reporting requirements, the Compensation Committee will conduct a review of awards covered by the policy and recoup any erroneously awarded incentive-based compensation to ensure that the ultimate payout gives retroactive effect to the financial results as restated. The Company may not indemnify any such covered officer against the loss of such recovered compensation.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an Insider Trading Policy is applicable to the Company’s directors, officers, and all employees of the Company. The Insider Trading Policy governs the purchase, sale, and/or other dispositions of the Company’s securities and prohibits purchasing or selling any securities of the Company while a person covered by the Insider Trading Policy is aware of material, non-public information concerning the Company. The Company believes that its Insider Trading Policy is reasonably designed to promote compliance with insider trading laws, rules and regulations, and the exchange listing standards of the Nasdaq Stock Market. A copy of the Company’s Insider Trading Policy is filed with the SEC as an exhibit to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Policy and Procedures</w:t>
      </w:r>
    </w:p>
    <w:p>
      <w:pPr>
        <w:spacing w:after="0" w:line="229"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The Company’s policy is to grant stock options and other similar awards in the ordinary course of business in connection with our annual compensation program, hiring new employees, and in recognition of the retention or promotion of employees from time to time. The Company does not grant stock options or similar awards in anticipation of the release of material nonpublic information, such as a significant positive or negative earnings announcement, and does not time the public release of such information based on stock option grant dates. In addition, it is the Company’s policy to not grant stock options or similar awards during at any time during the four business days prior to or the one business day following the filing of the Company’s periodic reports or the filing or furnishing of a Form 8-K that discloses material nonpublic information (each, a “Filing Window”).</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current practices, executive officers do not choose or have influence over the grant date for their individual stock option grants. Stock option grants to the Company’s executive officers are generally approved annually at a meeting of the Company’s Compensation Committee that is held during the first quarter of each year, and the grants are generally effective immediately after the meeting on which the grants are eligible to be made under our grant policies discussed above.</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security holders may recommend nominees to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162" w:lineRule="exact"/>
        <w:rPr>
          <w:sz w:val="20"/>
          <w:szCs w:val="20"/>
          <w:color w:val="auto"/>
        </w:rPr>
      </w:pPr>
    </w:p>
    <w:p>
      <w:pPr>
        <w:ind w:left="860" w:hanging="488"/>
        <w:spacing w:after="0"/>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multiple compensation vehicles that provide a balance of long- and short-term incentives with fixed and variable components; and</w:t>
      </w:r>
    </w:p>
    <w:p>
      <w:pPr>
        <w:spacing w:after="0" w:line="22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Joel Lewis</w:t>
      </w:r>
      <w:r>
        <w:rPr>
          <w:rFonts w:ascii="Times New Roman" w:cs="Times New Roman" w:eastAsia="Times New Roman" w:hAnsi="Times New Roman"/>
          <w:sz w:val="18"/>
          <w:szCs w:val="18"/>
          <w:color w:val="auto"/>
        </w:rPr>
        <w:t>, see above under directors.</w:t>
      </w:r>
    </w:p>
    <w:p>
      <w:pPr>
        <w:spacing w:after="0" w:line="225"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Khurram Jamil, M.D</w:t>
      </w:r>
      <w:r>
        <w:rPr>
          <w:rFonts w:ascii="Times New Roman" w:cs="Times New Roman" w:eastAsia="Times New Roman" w:hAnsi="Times New Roman"/>
          <w:sz w:val="18"/>
          <w:szCs w:val="18"/>
          <w:color w:val="auto"/>
        </w:rPr>
        <w:t>. age 50, become the Company’s Chief Medical Officer on August 1, 2024 after joining the Company as vice president of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in March 2024. Prior to joining the Company, Dr. Jamil was employed at Mallinckrodt Pharmaceuticals from July 2015 to February 2024, where he was Vice President Hepatology and led the development teams that achieved approval of two compounds in the U.S. and Japan, conducted trials in liver cirrhosis and its complications, and designed and executed the largest trial in Hepatorenal Syndrome. Earlier in his career he held positions in medical affairs in Ikaria Inc and Organon Pharmaceuticals USA where he led successful launches of first-in-class therapies and developed strategies to assess disease burden, cost-effectiveness, and value proposition of approved drugs in new therapeutic areas. He holds 7 patents, has given over 95 poster and oral presentations and published over 40 manuscripts, including in the prestigious New England Journal of Medicine. Dr. Jamil is board certified in General Surgery. He completed his residency in Seaton Hall University, NJ, and earned his M.B.B.S. from King Edward Medical University at Lahore, Pakistan.</w:t>
      </w:r>
    </w:p>
    <w:p>
      <w:pPr>
        <w:spacing w:after="0" w:line="188" w:lineRule="exact"/>
        <w:rPr>
          <w:sz w:val="20"/>
          <w:szCs w:val="20"/>
          <w:color w:val="auto"/>
        </w:rPr>
      </w:pPr>
    </w:p>
    <w:p>
      <w:pPr>
        <w:ind w:right="140" w:firstLine="441"/>
        <w:spacing w:after="0" w:line="255" w:lineRule="auto"/>
        <w:rPr>
          <w:sz w:val="20"/>
          <w:szCs w:val="20"/>
          <w:color w:val="auto"/>
        </w:rPr>
      </w:pPr>
      <w:r>
        <w:rPr>
          <w:rFonts w:ascii="Times New Roman" w:cs="Times New Roman" w:eastAsia="Times New Roman" w:hAnsi="Times New Roman"/>
          <w:sz w:val="18"/>
          <w:szCs w:val="18"/>
          <w:i w:val="1"/>
          <w:iCs w:val="1"/>
          <w:color w:val="auto"/>
        </w:rPr>
        <w:t>Jack W. Callicutt</w:t>
      </w:r>
      <w:r>
        <w:rPr>
          <w:rFonts w:ascii="Times New Roman" w:cs="Times New Roman" w:eastAsia="Times New Roman" w:hAnsi="Times New Roman"/>
          <w:sz w:val="18"/>
          <w:szCs w:val="18"/>
          <w:color w:val="auto"/>
        </w:rPr>
        <w:t>, age 58, became our Chief Financial Officer on July 1, 2013. From August 2011 through June 2012, Mr. Callicutt was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directors, executive officers and significant employees share any familial relationship.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filed timely during the fiscal year ended December 31, 2025.</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DISCUSSION</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2025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71"/>
        </w:trPr>
        <w:tc>
          <w:tcPr>
            <w:tcW w:w="55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5500" w:type="dxa"/>
            <w:vAlign w:val="bottom"/>
          </w:tcPr>
          <w:p>
            <w:pPr>
              <w:spacing w:after="0"/>
              <w:rPr>
                <w:sz w:val="24"/>
                <w:szCs w:val="24"/>
                <w:color w:val="auto"/>
              </w:rPr>
            </w:pPr>
          </w:p>
        </w:tc>
      </w:tr>
      <w:tr>
        <w:trPr>
          <w:trHeight w:val="57"/>
        </w:trPr>
        <w:tc>
          <w:tcPr>
            <w:tcW w:w="55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55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162" w:lineRule="exact"/>
        <w:rPr>
          <w:sz w:val="20"/>
          <w:szCs w:val="20"/>
          <w:color w:val="auto"/>
        </w:rPr>
      </w:pPr>
    </w:p>
    <w:p>
      <w:pPr>
        <w:ind w:left="860" w:hanging="488"/>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that will help attract, retain and reward qualified executives;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executives’ interests with our success by making a portion of the executive’s compensation dependent upon corporate performance; and</w:t>
      </w:r>
    </w:p>
    <w:p>
      <w:pPr>
        <w:spacing w:after="0" w:line="236" w:lineRule="exact"/>
        <w:rPr>
          <w:rFonts w:ascii="Times New Roman" w:cs="Times New Roman" w:eastAsia="Times New Roman" w:hAnsi="Times New Roman"/>
          <w:sz w:val="17"/>
          <w:szCs w:val="17"/>
          <w:color w:val="auto"/>
        </w:rPr>
      </w:pPr>
    </w:p>
    <w:p>
      <w:pPr>
        <w:ind w:left="860" w:hanging="488"/>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the interests of stockholders by including long-term equity incentives.</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6" w:right="5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Review and Design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historically conducted a review of the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At our last “Say-on-Pay vote” held at our 2025 annual meeting of stockholders approximately 96% of votes cast were in favor of the compensation of our NEOs, as disclosed in the proxy materials for the 2025 annual meeting. At our 2025 annual meeting, the holders of approximately 84%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2028 annual meeting of stockholders.</w:t>
      </w:r>
    </w:p>
    <w:p>
      <w:pPr>
        <w:spacing w:after="0" w:line="183"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Several years ago,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percentile of the total compensation of our competitor companies. These findings continued to inform the Compensation Committee’s decisions on compensation in subsequent years, including 2025.</w:t>
      </w:r>
    </w:p>
    <w:p>
      <w:pPr>
        <w:spacing w:after="0" w:line="19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The Compensation Committee may use a compensation consultant in the future and will take into account publicly-available data relating to the compensation practices and policies of other companies within and outside our industry. The Compensation Committee designed its 2025 executive compensation program to prioritize retaining key executives and non-executive employees following the completion of the Company’s NAVIGATE trial.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Executive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program for the Company’s NEOs consists principally of three components:</w:t>
      </w:r>
    </w:p>
    <w:p>
      <w:pPr>
        <w:spacing w:after="0" w:line="225" w:lineRule="exact"/>
        <w:rPr>
          <w:sz w:val="20"/>
          <w:szCs w:val="20"/>
          <w:color w:val="auto"/>
        </w:rPr>
      </w:pPr>
    </w:p>
    <w:p>
      <w:pPr>
        <w:ind w:left="860" w:hanging="488"/>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retention bonuses;</w:t>
      </w:r>
    </w:p>
    <w:p>
      <w:pPr>
        <w:spacing w:after="0" w:line="225" w:lineRule="exact"/>
        <w:rPr>
          <w:rFonts w:ascii="Times New Roman" w:cs="Times New Roman" w:eastAsia="Times New Roman" w:hAnsi="Times New Roman"/>
          <w:sz w:val="18"/>
          <w:szCs w:val="18"/>
          <w:color w:val="auto"/>
        </w:rPr>
      </w:pPr>
    </w:p>
    <w:p>
      <w:pPr>
        <w:ind w:left="860" w:hanging="488"/>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compensation in the form of equity-based awards.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ectPr>
          <w:pgSz w:w="11900" w:h="16838" w:orient="portrait"/>
          <w:cols w:equalWidth="0" w:num="1">
            <w:col w:w="11240"/>
          </w:cols>
          <w:pgMar w:left="320" w:top="11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2025 Base Salary</w:t>
            </w: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 Base Salary</w:t>
            </w:r>
          </w:p>
        </w:tc>
      </w:tr>
      <w:tr>
        <w:trPr>
          <w:trHeight w:val="27"/>
        </w:trPr>
        <w:tc>
          <w:tcPr>
            <w:tcW w:w="7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624,000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Khurram Jamil, M.D. (2)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500,000(1)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400,000</w:t>
            </w:r>
          </w:p>
        </w:tc>
      </w:tr>
    </w:tbl>
    <w:p>
      <w:pPr>
        <w:sectPr>
          <w:pgSz w:w="11900" w:h="16838" w:orient="portrait"/>
          <w:cols w:equalWidth="0" w:num="1">
            <w:col w:w="11240"/>
          </w:cols>
          <w:pgMar w:left="320" w:top="117" w:right="339" w:bottom="1440" w:gutter="0" w:footer="0" w:header="0"/>
        </w:sectPr>
      </w:pPr>
    </w:p>
    <w:bookmarkStart w:id="61" w:name="page62"/>
    <w:bookmarkEnd w:id="61"/>
    <w:p>
      <w:pPr>
        <w:ind w:left="488" w:hanging="488"/>
        <w:spacing w:after="0" w:line="282" w:lineRule="auto"/>
        <w:tabs>
          <w:tab w:leader="none" w:pos="4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Jamil joined the Company in March 2024 and was promoted to Chief Medical Officer effective August 1, 2024 and his base salary was adjusted to $500,000.</w:t>
      </w:r>
    </w:p>
    <w:p>
      <w:pPr>
        <w:spacing w:after="0" w:line="333"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wp:posOffset>
            </wp:positionH>
            <wp:positionV relativeFrom="paragraph">
              <wp:posOffset>57785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8"/>
          </w:cols>
          <w:pgMar w:left="692" w:top="33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Bonuses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62"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2025 performance bonuses payments were split with half paid in January 2026 and half to be paid in March 2026, if the employee had not voluntarily resigned by that date.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Awarded</w:t>
            </w: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Performance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 of</w:t>
            </w:r>
          </w:p>
        </w:tc>
      </w:tr>
      <w:tr>
        <w:trPr>
          <w:trHeight w:val="245"/>
        </w:trPr>
        <w:tc>
          <w:tcPr>
            <w:tcW w:w="8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Base Salary</w:t>
            </w:r>
          </w:p>
        </w:tc>
      </w:tr>
      <w:tr>
        <w:trPr>
          <w:trHeight w:val="216"/>
        </w:trPr>
        <w:tc>
          <w:tcPr>
            <w:tcW w:w="8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Incentive Compensation</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January 23, 2025, Mr. Lewis, Dr. Jamil and Mr. Callicutt were awarded the options noted below based on 2024 performance. For the performance options, 25% vest on each of June 30, 2025, December 31, 2025, June 30, 2026, and December 31, 2026. The exercise price of the options is set at the closing price of our stock as of the grant date.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5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0" w:type="dxa"/>
            <w:vAlign w:val="bottom"/>
          </w:tcPr>
          <w:p>
            <w:pPr>
              <w:spacing w:after="0"/>
              <w:rPr>
                <w:sz w:val="21"/>
                <w:szCs w:val="21"/>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1/23/2025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91,000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Khurram Jamil</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1/24/2025</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7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1/24/2025</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65,000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r>
    </w:tbl>
    <w:p>
      <w:pPr>
        <w:spacing w:after="0" w:line="19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Also, on January 23, 2025, Mr. Lewis, Dr. Jamil and Mr. Callicutt were granted restricted stock units of 84,000, 60,000 and 60,000 shares, respectively. The restricted stock units vested on January 1, 2026.</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Terms of Employment Contracts of Named Executive Officers</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Lewis, Chief Executive Officer</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appointment of Mr. Lewis, the Company and Mr. Lewis entered into an employment agreement, dated August 31, 2020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and a Deferred Stock Unit Agreement, dated August 31, 2020 (the “</w:t>
      </w:r>
      <w:r>
        <w:rPr>
          <w:rFonts w:ascii="Times New Roman" w:cs="Times New Roman" w:eastAsia="Times New Roman" w:hAnsi="Times New Roman"/>
          <w:sz w:val="18"/>
          <w:szCs w:val="18"/>
          <w:u w:val="single" w:color="auto"/>
          <w:color w:val="auto"/>
        </w:rPr>
        <w:t>DSU Agreement</w:t>
      </w:r>
      <w:r>
        <w:rPr>
          <w:rFonts w:ascii="Times New Roman" w:cs="Times New Roman" w:eastAsia="Times New Roman" w:hAnsi="Times New Roman"/>
          <w:sz w:val="18"/>
          <w:szCs w:val="18"/>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Times New Roman" w:cs="Times New Roman" w:eastAsia="Times New Roman" w:hAnsi="Times New Roman"/>
          <w:sz w:val="18"/>
          <w:szCs w:val="18"/>
          <w:u w:val="single" w:color="auto"/>
          <w:color w:val="auto"/>
        </w:rPr>
        <w:t>Start Date</w:t>
      </w:r>
      <w:r>
        <w:rPr>
          <w:rFonts w:ascii="Times New Roman" w:cs="Times New Roman" w:eastAsia="Times New Roman" w:hAnsi="Times New Roman"/>
          <w:sz w:val="18"/>
          <w:szCs w:val="18"/>
          <w:color w:val="auto"/>
        </w:rPr>
        <w:t>”), and will be paid an annual base salary of $500,000. Under the terms of the Employment Agreement, 20% of his base salary will be paid in cash, and 80% will be paid in the form of deferred-stock-units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options under the Award shall be issued pursuant to the Company’s 2019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19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July 25, 2022, we entered into amendments to the Employment Agreement and DSU Agreement with Mr. Lewis. Pursuant to the amendments, Mr. Lewis’ base salary earned in 2023 will be paid 20% in cash and 80% in DSUs. Additionally, the term of the Employment Agreement was extended until December 31, 2024. Unless either party gives written notice of non-renewal at least 60 days prior to December 31, 2024, the amended employment agreement will automatically renew for an additional twelve months. Also, 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Deferred Stock Unit Agreement with Mr. Lewis specifies that 20% of his base salary and performance bonuses will be paid in cash, and 80% will be paid in the form of deferred stock units (“DSUs”)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 On March 1, 2023, twenty five percent of the DSU’s were issued to Mr. Lewis in accordance with the DSU Agreement. A total of 183,900 shares were due to be issued; however, 75,529 shares were withheld to cover income tax withholding of $156,345 resulting in 108,371 shares actually issued. Additionally, a 2023 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Khurram Jamil, M.D., Chief Medical Officer</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August 1, 2024, the Company entered into an Employment Agreement with Dr. Jamil (the “Jamil Employment Agreement”), which governs the terms of Dr. Jamil’s employment in his position as the Company’s Chief Medical Officer. Dr. Jamil will serve as the Chief Medical Officer of the Company during an initial term that commences on August 1, 2024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expires on August 1, 2025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Jamil a base salary of $500,000 per year (the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Provided that certain performance objectives are met, Dr. Jamil will also be entitled to receive an annual performance bonus equal to thirty percent (30%) of the Base Salary (the “</w:t>
      </w:r>
      <w:r>
        <w:rPr>
          <w:rFonts w:ascii="Times New Roman" w:cs="Times New Roman" w:eastAsia="Times New Roman" w:hAnsi="Times New Roman"/>
          <w:sz w:val="18"/>
          <w:szCs w:val="18"/>
          <w:u w:val="single" w:color="auto"/>
          <w:color w:val="auto"/>
        </w:rPr>
        <w:t>Performance Bonus</w:t>
      </w:r>
      <w:r>
        <w:rPr>
          <w:rFonts w:ascii="Times New Roman" w:cs="Times New Roman" w:eastAsia="Times New Roman" w:hAnsi="Times New Roman"/>
          <w:sz w:val="18"/>
          <w:szCs w:val="18"/>
          <w:color w:val="auto"/>
        </w:rPr>
        <w:t>”). Subject to certain restrictions described in the Agreement, Dr. Jamil was granted options to purchase 100,000 shares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of the Company’s common stock and restricted stock units for 10,000 shares of the Company’s common stock pursuant to the Company’s 2019 Omnibus Equity Incentive Plan. The Options vest as follows: twenty-five percent (25%) of the Options shall vest upon each of October 31, 2024; January 31, 2025; April 30, 2025; and July 31, 2025. The restricted stock units vesting only would occur if the Company presented top-line results from its NAVIGATE clinical trial by the end of 2024. The restricted stock units vested on December 20, 2024.</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Prior to his appointment as Chief Medical Officer, on March 11, 2024, Dr. Jamil joined the Company as vice president of clinical development and medical director. His annual salary was $400,000. He also was granted options to purchase 150,000 shares of the Company’s common stock which vest one-third at each of the first three anniversaries of his employment date. Additionally, he was granted restricted stock units for 10,000 shares of the Company’s common stock. The restricted stock units vesting only would occur if the Company presented top-line results from its NAVIGATE clinical trial by the end of 2024. The restricted stock units vested on December 20,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W. Callicutt, Chief Financial Officer</w:t>
      </w:r>
    </w:p>
    <w:p>
      <w:pPr>
        <w:spacing w:after="0" w:line="227"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 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 &amp; Perquisites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compensation paid to our NEOs for the fiscal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(2)</w:t>
            </w: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(1)</w:t>
            </w:r>
          </w:p>
        </w:tc>
        <w:tc>
          <w:tcPr>
            <w:tcW w:w="100" w:type="dxa"/>
            <w:vAlign w:val="bottom"/>
          </w:tcPr>
          <w:p>
            <w:pPr>
              <w:spacing w:after="0"/>
              <w:rPr>
                <w:sz w:val="21"/>
                <w:szCs w:val="21"/>
                <w:color w:val="auto"/>
              </w:rPr>
            </w:pPr>
          </w:p>
        </w:tc>
        <w:tc>
          <w:tcPr>
            <w:tcW w:w="1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 Chief Executive Officer &amp; President</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624,000</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5"/>
              </w:rPr>
              <w:t>312,000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7"/>
              </w:rPr>
              <w:t>56,019(3)</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1,174,782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620,167</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312,000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202,635</w:t>
            </w:r>
          </w:p>
        </w:tc>
        <w:tc>
          <w:tcPr>
            <w:tcW w:w="1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54,872(4)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1,189,674</w:t>
            </w:r>
          </w:p>
        </w:tc>
      </w:tr>
      <w:tr>
        <w:trPr>
          <w:trHeight w:val="198"/>
        </w:trPr>
        <w:tc>
          <w:tcPr>
            <w:tcW w:w="4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Khurram Jamil, M.D., Chief Medical Officer (5)</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gridSpan w:val="3"/>
          </w:tcPr>
          <w:p>
            <w:pPr>
              <w:ind w:left="500"/>
              <w:spacing w:after="0" w:line="198" w:lineRule="exact"/>
              <w:rPr>
                <w:sz w:val="20"/>
                <w:szCs w:val="20"/>
                <w:color w:val="auto"/>
              </w:rPr>
            </w:pPr>
            <w:r>
              <w:rPr>
                <w:rFonts w:ascii="Times New Roman" w:cs="Times New Roman" w:eastAsia="Times New Roman" w:hAnsi="Times New Roman"/>
                <w:sz w:val="18"/>
                <w:szCs w:val="18"/>
                <w:color w:val="auto"/>
              </w:rPr>
              <w:t>500,000</w:t>
            </w:r>
          </w:p>
        </w:tc>
        <w:tc>
          <w:tcPr>
            <w:tcW w:w="1100" w:type="dxa"/>
            <w:vAlign w:val="bottom"/>
            <w:gridSpan w:val="2"/>
          </w:tcPr>
          <w:p>
            <w:pPr>
              <w:ind w:left="400"/>
              <w:spacing w:after="0" w:line="198" w:lineRule="exact"/>
              <w:rPr>
                <w:sz w:val="20"/>
                <w:szCs w:val="20"/>
                <w:color w:val="auto"/>
              </w:rPr>
            </w:pPr>
            <w:r>
              <w:rPr>
                <w:rFonts w:ascii="Times New Roman" w:cs="Times New Roman" w:eastAsia="Times New Roman" w:hAnsi="Times New Roman"/>
                <w:sz w:val="18"/>
                <w:szCs w:val="18"/>
                <w:color w:val="auto"/>
              </w:rPr>
              <w:t>350,000</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130,545</w:t>
            </w:r>
          </w:p>
        </w:tc>
        <w:tc>
          <w:tcPr>
            <w:tcW w:w="1340" w:type="dxa"/>
            <w:vAlign w:val="bottom"/>
            <w:gridSpan w:val="2"/>
          </w:tcPr>
          <w:p>
            <w:pPr>
              <w:ind w:left="480"/>
              <w:spacing w:after="0" w:line="198" w:lineRule="exact"/>
              <w:rPr>
                <w:sz w:val="20"/>
                <w:szCs w:val="20"/>
                <w:color w:val="auto"/>
              </w:rPr>
            </w:pPr>
            <w:r>
              <w:rPr>
                <w:rFonts w:ascii="Times New Roman" w:cs="Times New Roman" w:eastAsia="Times New Roman" w:hAnsi="Times New Roman"/>
                <w:sz w:val="18"/>
                <w:szCs w:val="18"/>
                <w:color w:val="auto"/>
              </w:rPr>
              <w:t>71,583(6)</w:t>
            </w:r>
          </w:p>
        </w:tc>
        <w:tc>
          <w:tcPr>
            <w:tcW w:w="100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1,052,128</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365,909</w:t>
            </w: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120,625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398,500</w:t>
            </w:r>
          </w:p>
        </w:tc>
        <w:tc>
          <w:tcPr>
            <w:tcW w:w="1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60,813(7)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945,847</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 Chief Financial Officer</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400,000</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130,545</w:t>
            </w:r>
          </w:p>
        </w:tc>
        <w:tc>
          <w:tcPr>
            <w:tcW w:w="1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56,019(8)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806,564</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397,333</w:t>
            </w:r>
          </w:p>
        </w:tc>
        <w:tc>
          <w:tcPr>
            <w:tcW w:w="1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144,740</w:t>
            </w:r>
          </w:p>
        </w:tc>
        <w:tc>
          <w:tcPr>
            <w:tcW w:w="13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54,872(9)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716,945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188595</wp:posOffset>
            </wp:positionV>
            <wp:extent cx="8572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67" w:lineRule="exact"/>
        <w:rPr>
          <w:sz w:val="20"/>
          <w:szCs w:val="20"/>
          <w:color w:val="auto"/>
        </w:rPr>
      </w:pPr>
    </w:p>
    <w:p>
      <w:pPr>
        <w:jc w:val="both"/>
        <w:ind w:left="500" w:hanging="492"/>
        <w:spacing w:after="0" w:line="255"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restricted stock units and option awards made during 2025 and 2024 computed in accordance with the Stock Compensation Topic of the FASB ASC, as modified of supplemented. Option awards fair values were calculated using the Black-Scholes options pricing model. For a description of the assumptions used to determine these amounts, see Note 9 of the Notes to the Consolidated Financial Statements in our Annual Reports on Form 10-K for the fiscal years ended December 31, 2025 and 2024.</w:t>
      </w:r>
    </w:p>
    <w:p>
      <w:pPr>
        <w:spacing w:after="0" w:line="2"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bonuses for 2025 and 2024 were approved in January 2026 and January 2025, respectively. Also includes retention bonuses in 2025 of $200,000 for Dr. Jamil and $100,000 for Mr. Callicutt.</w:t>
      </w: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$42,019 for health and other insurance and $14,000 for 401(k) plan contributions.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$41,072 for health and other insurance and $13,800 for 401(k) plan contributions.</w:t>
      </w:r>
    </w:p>
    <w:p>
      <w:pPr>
        <w:spacing w:after="0" w:line="9"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Jamil joined the company in March 2024 as vice president of clinical development and was promoted to Chief Medical Officer effective August 1, 2024.</w:t>
      </w: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$57,583 for health and other insurance and $14,000 for 401(k) plan contributions.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$47,146 for health and other insurance and $13,667 for 401(k) plan contributions.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$42,019 for health and other insurance and $14,000 for 401(k) plan contributions.</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$41,072 for health and other insurance and $13,800 for 401(k) plan contributions.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2025</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outstanding equity awards held by the NEOs at December 31, 2025. The exercise price of the options is set at the closing price of our stock at the date prior to or as of the date of grant. Outstanding options have been approved by our Compensation Committee and our Board.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194"/>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Market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Payout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Unearned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Rights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That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That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Vested</w:t>
            </w:r>
          </w:p>
        </w:tc>
      </w:tr>
      <w:tr>
        <w:trPr>
          <w:trHeight w:val="245"/>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30"/>
        </w:trPr>
        <w:tc>
          <w:tcPr>
            <w:tcW w:w="1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35,000(1)</w:t>
            </w: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01/16/2029</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32,171(2)</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01/09/2030</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250,000(3)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08/31/2030</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140,000(5)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01/24/2032</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01/26/2033</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91,000(8)</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01/24/2034</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45,500(9)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45,500(9)</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01/23/2035</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2,037(10)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100,000(10)</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03/20/2034</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50,000(11)</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08/01/2034</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8,125(9)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32,500(9)</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01/23/2035</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90,000(12)</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01/15/2028</w:t>
            </w: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90,000(13)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05/22/2028</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50,000(14)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01/16/2029</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50,000(15)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01/09/2030</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100,000(6)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03/25/2031</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65,000(8)</w:t>
            </w: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01/24/2034</w:t>
            </w: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16,250(9)</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32,500(9)</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01/23/2035</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188595</wp:posOffset>
            </wp:positionV>
            <wp:extent cx="8572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0" cy="17145"/>
                    </a:xfrm>
                    <a:prstGeom prst="rect">
                      <a:avLst/>
                    </a:prstGeom>
                    <a:noFill/>
                  </pic:spPr>
                </pic:pic>
              </a:graphicData>
            </a:graphic>
          </wp:anchor>
        </w:drawing>
      </w:r>
    </w:p>
    <w:p>
      <w:pPr>
        <w:spacing w:after="0" w:line="367"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January 16, 2020.</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in full on December 31, 2020.</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One-twelfth of the total options vested quarterly from August 31, 2020, which was the grant date.</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September 30, 2021, 25% vested on March 31, 2022, 25% vested on September 30, 2022, 25% vest on March 31, 2023.</w:t>
      </w:r>
    </w:p>
    <w:p>
      <w:pPr>
        <w:ind w:left="500" w:right="2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options vested on December 20, 2024 when the Company received the top-line results of the NAVIGATE clinical trial and made a public announcement of such results.</w:t>
      </w: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2022, 25% vested on December 31, 2022, 25% vested on June 30, 2023, 25% vested on December 31, 2023.</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2023, 25% vested on December 31, 2023, 25% vested on June 30, 2024, 25% vested on December 31, 2024.</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2024, 25% vested on December 31, 2024, 25% vest on June 30, 2025, 25% vest on December 31, 2025.</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2025, 25% vested on December 31, 2025, 25% vest on June 30, 2026, 25% vest on December 31, 2026.</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third of the options vest on each of March 11, 2025, March 11, 2026, and March 11, 2027.</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 on each of October 31, 2024, January 31, 2025, April 30, 2025, and July 31, 2025.</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January 15, 2018 (grant date), 25% vested on June 30, 2018, and 50% vested on December 31, 2018.</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2018, 25% vested on September 30, 2018, and 50% vested on December 31, 2018.</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2019, 25% vested on December 31, 2019, 25% vested on June 30, 2020, and 25% vested on December 31, 2020.</w:t>
      </w:r>
    </w:p>
    <w:p>
      <w:pPr>
        <w:ind w:left="500" w:hanging="492"/>
        <w:spacing w:after="0" w:line="260"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vested on June 30, 2020, 25% vested on December 31, 2020, 25% vested on June 30, 2021, and 25% vested on December 31, 2021.</w:t>
      </w:r>
    </w:p>
    <w:p>
      <w:pPr>
        <w:sectPr>
          <w:pgSz w:w="11900" w:h="16838" w:orient="portrait"/>
          <w:cols w:equalWidth="0" w:num="1">
            <w:col w:w="11240"/>
          </w:cols>
          <w:pgMar w:left="320" w:top="116" w:right="339" w:bottom="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48895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Omnibus Equity Incentive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Lewis: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either Mr. Lewis terminates his employment for Good Reason (ii) the Company terminates Mr. Lewis’s employment without Cause, or if this Employment Agreement expires as a result of the Company giving written notice of non-renewal, then the Company shall pay to Mr. Lewis (1) any accrued benefits, (2) a lump sum amount equal to twelve (12) months of Mr. Lewis’s base salary payable within thirty (30) days after the date of such termination, and (3) the performance bonus, if any, for the year in which termination occurs, based on actual individual and Company performance results and multiplied by a fraction, (A) the numerator of which shall be the number of days elapsed from the beginning of the fiscal year in which such termination occurs and (B) the denominator of which shall be 365; provided, however, that the portion of the performance bonus payable in the form of DSUs, will be paid in accordance with the terms of the DSU Award Agreements. Notwithstanding the foregoing, the payments described in clauses above are expressly conditioned upon Mr. Lewis executing returning a full release of the Company and its affiliates and from all obligations and any usual and customary indemnification obligations of the Company to Mr. Lewis as an officer thereof.</w:t>
      </w:r>
    </w:p>
    <w:p>
      <w:pPr>
        <w:spacing w:after="0" w:line="188"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 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Khurram Jamil, M.D.:</w:t>
      </w:r>
    </w:p>
    <w:p>
      <w:pPr>
        <w:spacing w:after="0" w:line="22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the Employment Agreement with Dr. Jamil, if (i) Dr. Jamil terminates the Agreement for Good Reason (as defined in the Agreement) or (ii) the Company terminates the Agreement without Cause (as defined in the Agreement), then the Company shall pay to Dr. Jamil: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If, within the period ending twelve (12) months after the date of a Change of Control, Dr. Jamil’s employment with the Company is (i) terminated without Cause or (ii) terminated for Good Reason by Dr. Jamil, the Company shall pay to Dr. Jamil (A) the Base Salary accrued through the date of termination, to the extent not theretofore paid, (B) Jamil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Jamil’s unvested Options shall be one hundred percent (100%) vested, but shall otherwise continue to be governed by the terms and conditions of the Plan and the applicable stock option agreement.</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Jack Callicutt: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(D) an amount equal to twelve (12)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total compensation earned by our non-employee directors during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1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 (1)</w:t>
            </w:r>
          </w:p>
        </w:tc>
        <w:tc>
          <w:tcPr>
            <w:tcW w:w="220" w:type="dxa"/>
            <w:vAlign w:val="bottom"/>
          </w:tcPr>
          <w:p>
            <w:pPr>
              <w:spacing w:after="0"/>
              <w:rPr>
                <w:sz w:val="21"/>
                <w:szCs w:val="21"/>
                <w:color w:val="auto"/>
              </w:rPr>
            </w:pP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 (2)</w:t>
            </w:r>
          </w:p>
        </w:tc>
        <w:tc>
          <w:tcPr>
            <w:tcW w:w="220" w:type="dxa"/>
            <w:vAlign w:val="bottom"/>
          </w:tcPr>
          <w:p>
            <w:pPr>
              <w:spacing w:after="0"/>
              <w:rPr>
                <w:sz w:val="21"/>
                <w:szCs w:val="21"/>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2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220" w:type="dxa"/>
            <w:vAlign w:val="bottom"/>
          </w:tcPr>
          <w:p>
            <w:pPr>
              <w:spacing w:after="0"/>
              <w:rPr>
                <w:sz w:val="21"/>
                <w:szCs w:val="21"/>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92,260</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99,760</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108,260</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102,260</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75,760</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95,760</w:t>
            </w:r>
          </w:p>
        </w:tc>
      </w:tr>
      <w:tr>
        <w:trPr>
          <w:trHeight w:val="21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92,260</w:t>
            </w:r>
          </w:p>
        </w:tc>
      </w:tr>
      <w:tr>
        <w:trPr>
          <w:trHeight w:val="216"/>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92,260</w:t>
            </w:r>
          </w:p>
        </w:tc>
      </w:tr>
      <w:tr>
        <w:trPr>
          <w:trHeight w:val="234"/>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48"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Uihlein elected to receive restricted stock in lieu of cash retainer for their service. The restricted shares vested in full on December 31, 2025.</w:t>
      </w:r>
    </w:p>
    <w:p>
      <w:pPr>
        <w:spacing w:after="0" w:line="27"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option awards based upon the Black Scholes valuation model made in 2026. The option grants were made on January 24, 2024. Each non-employee director received one grant of 60,000 options which will vest in full on December 31, 2025. For a description of the assumptions used to determine these amounts, see Note 9 to the Notes to the Consolidated Financial Statements herein our Annual Report on Form 10-K for the fiscal year ended December 31, 2025.</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travel expense reimbursements.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Subject</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 Option</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Held</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w:t>
            </w:r>
          </w:p>
        </w:tc>
      </w:t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401,875</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D. Freeman</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463,125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478,750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Rubin, M.D.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404,565</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1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435,000</w:t>
            </w: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Uihlein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366,362</w:t>
            </w:r>
          </w:p>
        </w:tc>
      </w:tr>
      <w:tr>
        <w:trPr>
          <w:trHeight w:val="223"/>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300,000</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3,734,677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a more detailed description of the assumptions used for purposes of determining grant date fair value, see Note 9 to the Consolidated Financial Statements and “Management’s Discussion and Analysis of Financial Condition and Results of Operations — Critical Accounting Policies and Estimates — Stock-Based Compensation” included herein the Form 10-K for the 2025 fiscal year.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reimburse our directors for reasonable travel and other related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Company’s cash compensation program for directors, non-employee directors of the Company will receive an annual cash retainer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$40,000. Each Nominating and Corporate Governance Committee member will receive an additional cash retainer of $3,500; each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member will receive an additional cash retainer of $5,000; and each Audit Committee member will receive an additional cash retainer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$7,500. In addition to the annual fee and committee membership retainers, the Nominating and Corporate Governance Committee Chairman will receive 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cash retainer of $3,500; the Compensation Committee Chairman will receive an annual cash retainer of $5,000; and the Audit Committee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receive an annual cash retainer of $7,500.</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sets forth, as of February 28, 2026,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28, 2026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16"/>
        </w:trPr>
        <w:tc>
          <w:tcPr>
            <w:tcW w:w="6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Preferred</w:t>
            </w:r>
          </w:p>
        </w:tc>
      </w:tr>
      <w:tr>
        <w:trPr>
          <w:trHeight w:val="245"/>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(2)</w:t>
            </w: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Stock (3)</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 (4)</w:t>
            </w:r>
          </w:p>
        </w:tc>
      </w:tr>
      <w:tr>
        <w:trPr>
          <w:trHeight w:val="216"/>
        </w:trPr>
        <w:tc>
          <w:tcPr>
            <w:tcW w:w="6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C. Czirr</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6,676,665(5)</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10X Fund, L.P. (8)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5,614,457(6)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Smith (9)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Early Equities LLC (9)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100,000(7)</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 (11)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54,223,366(12)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210,000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435,614</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910,414(10)</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Joel Lewis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1,669,143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560,990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Brem, M.D.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54,223,366(12)</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344,853</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301,000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910,108(13)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H. Shlevin, Ph.D.</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441,500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120,162</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W. Callicutt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579,449</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(13 persons)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60,706,599</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174625</wp:posOffset>
            </wp:positionV>
            <wp:extent cx="10629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7" w:lineRule="exact"/>
        <w:rPr>
          <w:sz w:val="20"/>
          <w:szCs w:val="20"/>
          <w:color w:val="auto"/>
        </w:rPr>
      </w:pPr>
    </w:p>
    <w:p>
      <w:pPr>
        <w:ind w:left="500" w:hanging="492"/>
        <w:spacing w:after="0" w:line="250"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for each named person is c/o Galectin Therapeutics Inc., 4960 Peachtree Industrial Blvd., Suite 240, Norcross, GA 30071.</w:t>
      </w:r>
    </w:p>
    <w:p>
      <w:pPr>
        <w:ind w:left="500" w:hanging="492"/>
        <w:spacing w:after="0" w:line="260"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following number of shares of our common stock issuable upon exercise of outstanding stock options granted to our named executive officers and directors that are exercisable within 60 days after February 28, 2025.</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94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9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 Exercisable</w:t>
            </w:r>
          </w:p>
        </w:tc>
      </w:tr>
      <w:tr>
        <w:trPr>
          <w:trHeight w:val="245"/>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 Nominees and Named Executive Officers</w:t>
            </w:r>
          </w:p>
        </w:tc>
        <w:tc>
          <w:tcPr>
            <w:tcW w:w="17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Within 60 Days</w:t>
            </w:r>
          </w:p>
        </w:tc>
      </w:tr>
      <w:tr>
        <w:trPr>
          <w:trHeight w:val="216"/>
        </w:trPr>
        <w:tc>
          <w:tcPr>
            <w:tcW w:w="9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S. Carson, Sr., M.D.</w:t>
            </w:r>
          </w:p>
        </w:tc>
        <w:tc>
          <w:tcPr>
            <w:tcW w:w="12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Gilbert F. Amelio, Ph.D.</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w:t>
            </w:r>
          </w:p>
        </w:tc>
        <w:tc>
          <w:tcPr>
            <w:tcW w:w="80" w:type="dxa"/>
            <w:vAlign w:val="bottom"/>
          </w:tcPr>
          <w:p>
            <w:pPr>
              <w:spacing w:after="0"/>
              <w:rPr>
                <w:sz w:val="18"/>
                <w:szCs w:val="18"/>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Brem, M.D.</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Gilbert S. Omenn, M.D., Ph.D</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478,750</w:t>
            </w:r>
          </w:p>
        </w:tc>
        <w:tc>
          <w:tcPr>
            <w:tcW w:w="80" w:type="dxa"/>
            <w:vAlign w:val="bottom"/>
          </w:tcPr>
          <w:p>
            <w:pPr>
              <w:spacing w:after="0"/>
              <w:rPr>
                <w:sz w:val="18"/>
                <w:szCs w:val="18"/>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Freeman</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463,125</w:t>
            </w:r>
          </w:p>
        </w:tc>
        <w:tc>
          <w:tcPr>
            <w:tcW w:w="80" w:type="dxa"/>
            <w:vAlign w:val="bottom"/>
            <w:shd w:val="clear" w:color="auto" w:fill="CCEEFF"/>
          </w:tcPr>
          <w:p>
            <w:pPr>
              <w:spacing w:after="0"/>
              <w:rPr>
                <w:sz w:val="18"/>
                <w:szCs w:val="18"/>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Kary Eldred</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401,875</w:t>
            </w:r>
          </w:p>
        </w:tc>
        <w:tc>
          <w:tcPr>
            <w:tcW w:w="80" w:type="dxa"/>
            <w:vAlign w:val="bottom"/>
          </w:tcPr>
          <w:p>
            <w:pPr>
              <w:spacing w:after="0"/>
              <w:rPr>
                <w:sz w:val="18"/>
                <w:szCs w:val="18"/>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Lewis</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803,671</w:t>
            </w:r>
          </w:p>
        </w:tc>
        <w:tc>
          <w:tcPr>
            <w:tcW w:w="80" w:type="dxa"/>
            <w:vAlign w:val="bottom"/>
            <w:shd w:val="clear" w:color="auto" w:fill="CCEEFF"/>
          </w:tcPr>
          <w:p>
            <w:pPr>
              <w:spacing w:after="0"/>
              <w:rPr>
                <w:sz w:val="18"/>
                <w:szCs w:val="18"/>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E. Uihlein.</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366,362</w:t>
            </w:r>
          </w:p>
        </w:tc>
        <w:tc>
          <w:tcPr>
            <w:tcW w:w="80" w:type="dxa"/>
            <w:vAlign w:val="bottom"/>
          </w:tcPr>
          <w:p>
            <w:pPr>
              <w:spacing w:after="0"/>
              <w:rPr>
                <w:sz w:val="18"/>
                <w:szCs w:val="18"/>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Harold Shlevin, Ph.D.</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435,000</w:t>
            </w:r>
          </w:p>
        </w:tc>
        <w:tc>
          <w:tcPr>
            <w:tcW w:w="80" w:type="dxa"/>
            <w:vAlign w:val="bottom"/>
            <w:shd w:val="clear" w:color="auto" w:fill="CCEEFF"/>
          </w:tcPr>
          <w:p>
            <w:pPr>
              <w:spacing w:after="0"/>
              <w:rPr>
                <w:sz w:val="18"/>
                <w:szCs w:val="18"/>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Zordani</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Elissa J. Schwartz, Ph.D.</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r>
      <w:tr>
        <w:trPr>
          <w:trHeight w:val="216"/>
        </w:trPr>
        <w:tc>
          <w:tcPr>
            <w:tcW w:w="9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Khurram Jamil, M.D.</w:t>
            </w: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60,162</w:t>
            </w:r>
          </w:p>
        </w:tc>
      </w:tr>
      <w:tr>
        <w:trPr>
          <w:trHeight w:val="236"/>
        </w:trPr>
        <w:tc>
          <w:tcPr>
            <w:tcW w:w="9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 Callicutt</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511,250</w:t>
            </w:r>
          </w:p>
        </w:tc>
      </w:tr>
      <w:tr>
        <w:trPr>
          <w:trHeight w:val="210"/>
        </w:trPr>
        <w:tc>
          <w:tcPr>
            <w:tcW w:w="9480" w:type="dxa"/>
            <w:vAlign w:val="bottom"/>
            <w:tcBorders>
              <w:top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color w:val="auto"/>
              </w:rPr>
              <w:t>All executive officers and directors as a group</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4,705,195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500" w:right="120" w:hanging="492"/>
        <w:spacing w:after="0" w:line="255" w:lineRule="auto"/>
        <w:tabs>
          <w:tab w:leader="none" w:pos="5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named person and group included in this table, percentage ownership of our common stock is calculated by dividing the number of shares of our common stock beneficially owned by such person or group by the sum of (i) 63,168,196 shares of our common stock outstanding as of February 28, 2025 and (ii) the number of shares of our common stock that such person has the right to acquire within 60 days after February 28, 2025.</w:t>
      </w:r>
    </w:p>
    <w:p>
      <w:pPr>
        <w:spacing w:after="0" w:line="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1,235,000 shares of Series A preferred stock outstanding as of February 28, 2025.</w:t>
      </w:r>
    </w:p>
    <w:p>
      <w:pPr>
        <w:spacing w:after="0" w:line="9" w:lineRule="exact"/>
        <w:rPr>
          <w:rFonts w:ascii="Times New Roman" w:cs="Times New Roman" w:eastAsia="Times New Roman" w:hAnsi="Times New Roman"/>
          <w:sz w:val="18"/>
          <w:szCs w:val="18"/>
          <w:color w:val="auto"/>
        </w:rPr>
      </w:pPr>
    </w:p>
    <w:p>
      <w:pPr>
        <w:ind w:left="500" w:right="40" w:hanging="492"/>
        <w:spacing w:after="0" w:line="250" w:lineRule="auto"/>
        <w:tabs>
          <w:tab w:leader="none" w:pos="5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5,614,457 shares of common shares,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1,045,541 shares of common stock owned directly by Mr. Czirr, and 16,667 shares of our common stock issuable upon conversion of Series A preferred stock owned by Mr. Czirr.</w:t>
      </w:r>
    </w:p>
    <w:p>
      <w:pPr>
        <w:spacing w:after="0" w:line="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5,614,457 shares of common shares.</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5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10X Capital Management, LLC at Investment Law Group attn: Bob Mottern 545 Dutch Valley Road NE, Suite A, Atlanta, GA 30324.</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David Smith 34 Shorehaven Road E., Norwalk, CT 06855.</w:t>
      </w:r>
    </w:p>
    <w:p>
      <w:pPr>
        <w:spacing w:after="0" w:line="9"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218,525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c/o Uline Corporation, 12575 Uline Drive, Pleasant Prairie, WI 53158</w:t>
      </w:r>
    </w:p>
    <w:p>
      <w:pPr>
        <w:spacing w:after="0" w:line="9"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10,360,386 shares of common stock, (ii) 2,720,180 common shares issuable upon the exercise of common stock purchase warrants, (iii) 366,362 common shares issuable upon the exercise of common stock options, (iv) 83,334 common shares issuable upon conversion of Series C preferred non-voting stock, (iv) 7,631,296 common shares issuable upon conversion of convertible notes payable and (v) 33,061,808 common shares issuable upon conversion of convertible line of credit.</w:t>
      </w:r>
    </w:p>
    <w:p>
      <w:pPr>
        <w:spacing w:after="0" w:line="1" w:lineRule="exact"/>
        <w:rPr>
          <w:rFonts w:ascii="Times New Roman" w:cs="Times New Roman" w:eastAsia="Times New Roman" w:hAnsi="Times New Roman"/>
          <w:sz w:val="18"/>
          <w:szCs w:val="18"/>
          <w:color w:val="auto"/>
        </w:rPr>
      </w:pPr>
    </w:p>
    <w:p>
      <w:pPr>
        <w:ind w:left="500" w:right="240" w:hanging="492"/>
        <w:spacing w:after="0" w:line="253" w:lineRule="auto"/>
        <w:tabs>
          <w:tab w:leader="none" w:pos="5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63,682 shares of common stock, 6,599 common stock purchase warrants, and 311,875 common stock options personally owned by Mr. Eldred and 431,527 shares of Common Stock and 311,964 Common Stock purchase warrants owned by two private foundations over which Mr. Eldred shares management control, and 4,425 shares of Common Stock held in a trust for a minor child; however, Mr. Eldred disclaims beneficial ownership of the shares and warrants owned by such private foundations and trust.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about the securities issued, or authorized for future issuance, under our equity compensation plans, consisting of our 2009 Incentive Compensation Plan and our 2019 Omnibus Equity Incentive Plan at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remaining</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available for</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future</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Securities</w:t>
            </w: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45"/>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6,572,509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2,575,479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9"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Except as set forth below, since the beginning of fiscal year 2025, we did not participate in any transactions in which any of the Company’s executive officers, any beneficial owner of more than 5% of our common stock, nor any of their immediate family members, had a direct or indirect material interest.</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2025.</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March 31, 2025, the Company and Richard E. Uihlein (the “Lender”) entered into a Supplemental Line of Credit Letter Agreement (the “March 2025 Supplemental Credit Agreement”), pursuant to which the Lender shall provide the Company a line of credit of up to $5.0 million (the “March 2025 Supplemental Line of Credit”) to finance the Company’s working capital needs. The Company may draw upon the March 2025 Supplemental Line of Credit through September 30, 2025.</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Each advance made pursuant to the March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September 30, 2026.</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March 2025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July 8, 2025, the Company and Richard E. Uihlein (the “Lender”) entered into a Supplemental Line of Credit Letter Agreement (the “July 2025 Supplemental Credit Agreement”), pursuant to which the Lender shall provide the Company a line of credit of up to $10.0 million (the “July 2025 Supplemental Line of Credit”) to finance the Company’s working capital needs. The Company may draw upon the July 2025 Supplemental Line of Credit through April 30, 2026.</w:t>
      </w:r>
    </w:p>
    <w:p>
      <w:pPr>
        <w:spacing w:after="0" w:line="180" w:lineRule="exact"/>
        <w:rPr>
          <w:sz w:val="20"/>
          <w:szCs w:val="20"/>
          <w:color w:val="auto"/>
        </w:rPr>
      </w:pPr>
    </w:p>
    <w:p>
      <w:pPr>
        <w:jc w:val="both"/>
        <w:ind w:right="200" w:firstLine="648"/>
        <w:spacing w:after="0" w:line="261" w:lineRule="auto"/>
        <w:rPr>
          <w:sz w:val="20"/>
          <w:szCs w:val="20"/>
          <w:color w:val="auto"/>
        </w:rPr>
      </w:pPr>
      <w:r>
        <w:rPr>
          <w:rFonts w:ascii="Times New Roman" w:cs="Times New Roman" w:eastAsia="Times New Roman" w:hAnsi="Times New Roman"/>
          <w:sz w:val="18"/>
          <w:szCs w:val="18"/>
          <w:color w:val="auto"/>
        </w:rPr>
        <w:t>Each advance made pursuant to the July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September 30, 2026. Only with the consent of the Lender, may the Promissory Notes be prepaid, in whole or in part, at any time without premium or penalty, but with interest on the amount or amounts prepaid.</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July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 evidencing such draw, but in no event more than $10.00 per share nor less than $3.00 per share. The Warrants expire on July 31, 2029. Any shares of the Company's common stock issued to Lender upon conversion of a Promissory Note or exercise of a Warrant will be accompanied by registration rights whereby the Company shall agree to register the shares with the SEC within 180 days.</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On December 19, 2025, the Company and Richard E. Uihlein (the "Lender") entered into a Supplemental Line of Credit Letter Agreement (the "December 2025 Supplemental Credit Agreement"), pursuant to which the Lender shall provide the Company a line of credit of up to $10.0 million (the "December 2025 Supplemental Line of Credit") to finance the Company's working capital needs. The Company may draw upon the December 2025 Supplemental Line of Credit through January 31, 2027.</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December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June 30, 2027.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the closing price per share on December 19, 2025.</w:t>
      </w:r>
    </w:p>
    <w:p>
      <w:pPr>
        <w:spacing w:after="0" w:line="18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December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December 2025 Supplemental Line of Credit, with exercise prices equal to 150% of the closing price of the Company's common Stock on the date of the Promissory Note evidencing such draw, but in no event more than $10.00 per share nor less than the closing price per share on December 19, 2025. The Warrants expire on December 31, 2029. Any shares of the Company's common stock issued to Lender upon conversion of a Promissory Note or exercise of a Warrant will be accompanied by registration rights whereby the Company shall agree to register the shares with the SEC within 180 days.</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Director Independence</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has determined that all of our directors other than Mr. Lewis are “independent directors” as defined by The NASDAQ Stock Market. Our board of directors also determined that Drs. Amelio, Carson Sr., Ms. Schwartz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 Mr. Zordani is an “audit committee financial expert” within the meaning of SEC rules. With respect to our compensation committee, our board of directors has determined that Drs. Omenn, Amelio and Mr. Freeman satisfy the independence standards for such committee established by Rule 10C-1 under the Exchange Act, the SEC and the NASDAQ Marketplace Rules, as applicable.</w:t>
      </w: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appointed Cherry Bekaert LLP as our independent auditors for the fiscal year ending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spacing w:after="0"/>
              <w:rPr>
                <w:sz w:val="20"/>
                <w:szCs w:val="20"/>
                <w:color w:val="auto"/>
              </w:rPr>
            </w:pPr>
          </w:p>
        </w:tc>
        <w:tc>
          <w:tcPr>
            <w:tcW w:w="6100" w:type="dxa"/>
            <w:vAlign w:val="bottom"/>
            <w:gridSpan w:val="2"/>
          </w:tcPr>
          <w:p>
            <w:pPr>
              <w:jc w:val="right"/>
              <w:ind w:right="1516"/>
              <w:spacing w:after="0"/>
              <w:rPr>
                <w:sz w:val="20"/>
                <w:szCs w:val="20"/>
                <w:color w:val="auto"/>
              </w:rPr>
            </w:pPr>
            <w:r>
              <w:rPr>
                <w:rFonts w:ascii="Times New Roman" w:cs="Times New Roman" w:eastAsia="Times New Roman" w:hAnsi="Times New Roman"/>
                <w:sz w:val="18"/>
                <w:szCs w:val="18"/>
                <w:b w:val="1"/>
                <w:bCs w:val="1"/>
                <w:color w:val="auto"/>
              </w:rPr>
              <w:t>FEES PAID TO CHERRY BEKAERT LLP</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28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220" w:type="dxa"/>
            <w:vAlign w:val="bottom"/>
          </w:tcPr>
          <w:p>
            <w:pPr>
              <w:spacing w:after="0"/>
              <w:rPr>
                <w:sz w:val="24"/>
                <w:szCs w:val="2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Fiscal</w:t>
            </w:r>
          </w:p>
        </w:tc>
      </w:tr>
      <w:tr>
        <w:trPr>
          <w:trHeight w:val="216"/>
        </w:trPr>
        <w:tc>
          <w:tcPr>
            <w:tcW w:w="28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45"/>
        </w:trPr>
        <w:tc>
          <w:tcPr>
            <w:tcW w:w="2800" w:type="dxa"/>
            <w:vAlign w:val="bottom"/>
            <w:tcBorders>
              <w:bottom w:val="single" w:sz="8" w:color="CCEEFF"/>
            </w:tcBorders>
          </w:tcPr>
          <w:p>
            <w:pPr>
              <w:spacing w:after="0"/>
              <w:rPr>
                <w:sz w:val="21"/>
                <w:szCs w:val="21"/>
                <w:color w:val="auto"/>
              </w:rPr>
            </w:pPr>
          </w:p>
        </w:tc>
        <w:tc>
          <w:tcPr>
            <w:tcW w:w="58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191,100</w:t>
            </w:r>
          </w:p>
        </w:tc>
        <w:tc>
          <w:tcPr>
            <w:tcW w:w="10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 (2)</w:t>
            </w:r>
          </w:p>
        </w:tc>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17,237</w:t>
            </w: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5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40,194</w:t>
            </w:r>
          </w:p>
        </w:tc>
      </w:tr>
      <w:tr>
        <w:trPr>
          <w:trHeight w:val="223"/>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5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both"/>
        <w:ind w:left="500" w:hanging="492"/>
        <w:spacing w:after="0" w:line="258"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These are fees for professional services for the audit of our annual financial statements dated December 31, 2025 and 2024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Annual Reports on Form 10-K for fiscal years then ended, and review of financial statements included in our Quarterly Reports on Form 10-Q for each fiscal quarter during the 2025 and 2024 fiscal years.</w:t>
      </w:r>
    </w:p>
    <w:p>
      <w:pPr>
        <w:jc w:val="both"/>
        <w:ind w:left="500" w:hanging="492"/>
        <w:spacing w:after="0" w:line="253"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Audit-Related Fees</w:t>
      </w:r>
      <w:r>
        <w:rPr>
          <w:rFonts w:ascii="Times New Roman" w:cs="Times New Roman" w:eastAsia="Times New Roman" w:hAnsi="Times New Roman"/>
          <w:sz w:val="18"/>
          <w:szCs w:val="18"/>
          <w:color w:val="auto"/>
        </w:rPr>
        <w:t>. These are fees for assurance and related services that are reasonably related to the performance of the audit or review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non-core audit services to Galectin Therapeutics by Cherry Bekaert LLP is compatible with maintaining independence.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Pre-Approval Policy and Procedures</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83"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1. Consolidated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are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Consolidated Financial Statement Schedules</w:t>
      </w:r>
    </w:p>
    <w:p>
      <w:pPr>
        <w:spacing w:after="0" w:line="22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of the absence of conditions under which they are required or because the required information is included in the Consolidated Financial Statements or notes thereto.</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2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700" w:type="dxa"/>
            <w:vAlign w:val="bottom"/>
          </w:tcPr>
          <w:p>
            <w:pPr>
              <w:spacing w:after="0"/>
              <w:rPr>
                <w:sz w:val="20"/>
                <w:szCs w:val="20"/>
                <w:color w:val="auto"/>
              </w:rPr>
            </w:pPr>
          </w:p>
        </w:tc>
        <w:tc>
          <w:tcPr>
            <w:tcW w:w="7400" w:type="dxa"/>
            <w:vAlign w:val="bottom"/>
            <w:gridSpan w:val="20"/>
          </w:tcPr>
          <w:p>
            <w:pPr>
              <w:ind w:left="140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1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98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Amended and Restated Articles of Incorporation of Galectin Therapeutics Inc., as amended (Incorporated by reference to the Company’s</w:t>
              </w:r>
            </w:hyperlink>
          </w:p>
        </w:tc>
        <w:tc>
          <w:tcPr>
            <w:tcW w:w="240" w:type="dxa"/>
            <w:vAlign w:val="bottom"/>
            <w:tcBorders>
              <w:bottom w:val="single" w:sz="8" w:color="CCEEFF"/>
            </w:tcBorders>
            <w:gridSpan w:val="5"/>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Current Report on Form 8-K filed with the Commission on May 30, 2012.)</w:t>
              </w:r>
            </w:hyperlink>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Amended and Restated Bylaws of Galectin Therapeutics Inc., as amended (Incorporated by reference to the Company’s Current Report on</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Form 8-K filed with the Commission on September 27, 2016.)</w:t>
              </w:r>
            </w:hyperlink>
          </w:p>
        </w:tc>
        <w:tc>
          <w:tcPr>
            <w:tcW w:w="1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Certificate of Designation of Preferences, Rights and Limitations of Series A 12% Convertible Preferred Stock of Pro Pharmaceuticals,</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Inc., as filed with the Secretary of State of the State of Nevada on October 5, 2007. (Incorporated by reference to the Company’s Current</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Report on Form 8-K filed with the Commission on October 9, 2007.)</w:t>
              </w:r>
            </w:hyperlink>
          </w:p>
        </w:tc>
        <w:tc>
          <w:tcPr>
            <w:tcW w:w="2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984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First Amendment to Certificate of Designation of Preferences, Rights and Limitations of Series A 12% Convertible Preferred Stock of</w:t>
              </w:r>
            </w:hyperlink>
          </w:p>
        </w:tc>
        <w:tc>
          <w:tcPr>
            <w:tcW w:w="260" w:type="dxa"/>
            <w:vAlign w:val="bottom"/>
            <w:tcBorders>
              <w:bottom w:val="single" w:sz="8" w:color="CCEEFF"/>
            </w:tcBorders>
            <w:gridSpan w:val="6"/>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Galectin Therapeutics, Inc., as filed with the Secretary of State of the State of Nevada on May 15, 2017. (Incorporated by reference to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Company’s Current Report on Form 8-K filed with the Commission on May 19, 2017.)</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92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Certificate of Designation of Preferences, Rights and Limitation of Series C Super Dividend Convertible Preferred Stock of Pro-</w:t>
              </w:r>
            </w:hyperlink>
          </w:p>
        </w:tc>
        <w:tc>
          <w:tcPr>
            <w:tcW w:w="840" w:type="dxa"/>
            <w:vAlign w:val="bottom"/>
            <w:tcBorders>
              <w:bottom w:val="single" w:sz="8" w:color="CCEEFF"/>
            </w:tcBorders>
            <w:gridSpan w:val="8"/>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Pharmaceuticals, Inc., as filed with the Secretary of State of Nevada on December 30, 2010. (Incorporated by reference to the Company’s</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Current Report on Form 8-K as filed with the Commission on January 6, 2011.)</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Certificate of Change as filed with the Nevada Secretary of State on March 1, 2012. (Incorporated by reference to the Company’s Current</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90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Report on Form 8-K as filed with the Commission on March 23, 2012.)</w:t>
              </w:r>
            </w:hyperlink>
          </w:p>
        </w:tc>
        <w:tc>
          <w:tcPr>
            <w:tcW w:w="20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Amendment to the Articles of Incorporation of Galectin Therapeutics Inc. (Incorporated by reference to the Company’s Annual Report on</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920" w:type="dxa"/>
            <w:vAlign w:val="bottom"/>
            <w:tcBorders>
              <w:top w:val="single" w:sz="8" w:color="0000EE"/>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Form 10-K as filed with the Commission on March 30, 2023)</w:t>
              </w:r>
            </w:hyperlink>
          </w:p>
        </w:tc>
        <w:tc>
          <w:tcPr>
            <w:tcW w:w="18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Form of Common Stock Purchase Warrant (Incorporated by reference to the Company’s Current Report on Form 8-K as filed with the</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Commission on December 29, 2016.)</w:t>
              </w:r>
            </w:hyperlink>
          </w:p>
        </w:tc>
        <w:tc>
          <w:tcPr>
            <w:tcW w:w="44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Common Stock Purchase Warrant issued to Richard E. Uihlein (Incorporated by reference to the Company’s Current Report on</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8-K as filed with the Commission on December 19, 2017.)</w:t>
              </w:r>
            </w:hyperlink>
          </w:p>
        </w:tc>
        <w:tc>
          <w:tcPr>
            <w:tcW w:w="2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First Amendment to Common Stock Purchase Warrant, dated December 20, 2018, by and between Richard E. Uihlein and the Company</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(Incorporated by reference to the Company’s Current Report on Form 8-K as filed with the Commission on January 3, 2019.)</w:t>
              </w:r>
            </w:hyperlink>
          </w:p>
        </w:tc>
        <w:tc>
          <w:tcPr>
            <w:tcW w:w="26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984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Second Amendment to Common Stock Purchase Warrant, dated January 11, 2019, by and between Richard E. Uihlein and the Company</w:t>
              </w:r>
            </w:hyperlink>
          </w:p>
        </w:tc>
        <w:tc>
          <w:tcPr>
            <w:tcW w:w="26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(Incorporated by reference to the Company’s Current Report on Form 8-K as filed with the Commission on January 15, 2019.)</w:t>
              </w:r>
            </w:hyperlink>
          </w:p>
        </w:tc>
      </w:tr>
      <w:tr>
        <w:trPr>
          <w:trHeight w:val="216"/>
        </w:trPr>
        <w:tc>
          <w:tcPr>
            <w:tcW w:w="1140" w:type="dxa"/>
            <w:vAlign w:val="bottom"/>
            <w:tcBorders>
              <w:top w:val="single" w:sz="8" w:color="CCEEFF"/>
            </w:tcBorders>
          </w:tcPr>
          <w:p>
            <w:pPr>
              <w:spacing w:after="0"/>
              <w:rPr>
                <w:sz w:val="18"/>
                <w:szCs w:val="18"/>
                <w:color w:val="auto"/>
              </w:rPr>
            </w:pPr>
          </w:p>
        </w:tc>
        <w:tc>
          <w:tcPr>
            <w:tcW w:w="270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0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of Amended and Restated Class B Common Stock Purchase Warrant (Incorporated by reference to the Company’s Current Report on</w:t>
              </w:r>
            </w:hyperlink>
          </w:p>
        </w:tc>
        <w:tc>
          <w:tcPr>
            <w:tcW w:w="80" w:type="dxa"/>
            <w:vAlign w:val="bottom"/>
            <w:tcBorders>
              <w:bottom w:val="single" w:sz="8" w:color="CCEEFF"/>
            </w:tcBorders>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448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Form 8-K as filed with the Commission on January 15, 2019.)</w:t>
              </w:r>
            </w:hyperlink>
          </w:p>
        </w:tc>
        <w:tc>
          <w:tcPr>
            <w:tcW w:w="5620" w:type="dxa"/>
            <w:vAlign w:val="bottom"/>
            <w:tcBorders>
              <w:bottom w:val="single" w:sz="8" w:color="CCEEFF"/>
            </w:tcBorders>
            <w:gridSpan w:val="18"/>
            <w:shd w:val="clear" w:color="auto" w:fill="CCEEFF"/>
          </w:tcPr>
          <w:p>
            <w:pPr>
              <w:spacing w:after="0"/>
              <w:rPr>
                <w:sz w:val="18"/>
                <w:szCs w:val="18"/>
                <w:color w:val="auto"/>
              </w:rPr>
            </w:pPr>
          </w:p>
        </w:tc>
      </w:tr>
      <w:tr>
        <w:trPr>
          <w:trHeight w:val="570"/>
        </w:trPr>
        <w:tc>
          <w:tcPr>
            <w:tcW w:w="1140" w:type="dxa"/>
            <w:vAlign w:val="bottom"/>
          </w:tcPr>
          <w:p>
            <w:pPr>
              <w:spacing w:after="0"/>
              <w:rPr>
                <w:sz w:val="24"/>
                <w:szCs w:val="24"/>
                <w:color w:val="auto"/>
              </w:rPr>
            </w:pPr>
          </w:p>
        </w:tc>
        <w:tc>
          <w:tcPr>
            <w:tcW w:w="4660" w:type="dxa"/>
            <w:vAlign w:val="bottom"/>
            <w:gridSpan w:val="5"/>
          </w:tcPr>
          <w:p>
            <w:pPr>
              <w:ind w:left="4420"/>
              <w:spacing w:after="0"/>
              <w:rPr>
                <w:sz w:val="20"/>
                <w:szCs w:val="20"/>
                <w:color w:val="auto"/>
              </w:rPr>
            </w:pPr>
            <w:r>
              <w:rPr>
                <w:rFonts w:ascii="Times New Roman" w:cs="Times New Roman" w:eastAsia="Times New Roman" w:hAnsi="Times New Roman"/>
                <w:sz w:val="14"/>
                <w:szCs w:val="14"/>
                <w:color w:val="auto"/>
              </w:rPr>
              <w:t>76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8"/>
        </w:trPr>
        <w:tc>
          <w:tcPr>
            <w:tcW w:w="114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5" w:right="339"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4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80" w:type="dxa"/>
            <w:vAlign w:val="bottom"/>
            <w:gridSpan w:val="17"/>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5"/>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8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Amended and Restated 10X Fund Class B Common Stock Purchase Warrant (Incorporated by reference to the Company’s Current</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2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Report on Form 8-K as filed with the Commission on January 15, 2019.)</w:t>
              </w:r>
            </w:hyperlink>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8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Form of Common Stock Purchase Warrant (Incorporated by reference to the Company’s Registration Statement on Form S-3 as filed with</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the Commission on March 6,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8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Warrant Agency Agreement (Incorporated by reference to the Company’s Registration Statement on Form S-3 as filed with the</w:t>
              </w:r>
            </w:hyperlink>
          </w:p>
        </w:tc>
        <w:tc>
          <w:tcPr>
            <w:tcW w:w="320" w:type="dxa"/>
            <w:vAlign w:val="bottom"/>
            <w:tcBorders>
              <w:bottom w:val="single" w:sz="8" w:color="CCEEFF"/>
            </w:tcBorders>
            <w:gridSpan w:val="8"/>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Commission on March 6,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4.09</w:t>
            </w:r>
          </w:p>
        </w:tc>
        <w:tc>
          <w:tcPr>
            <w:tcW w:w="8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Common Stock Purchase Warrant (Incorporated by reference to exhibit 4.1 the Company’s Current Report on Form 8-K as filed</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with the Commission on July 26, 2022.)</w:t>
              </w:r>
            </w:hyperlink>
          </w:p>
        </w:tc>
        <w:tc>
          <w:tcPr>
            <w:tcW w:w="26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4.10</w:t>
            </w:r>
          </w:p>
        </w:tc>
        <w:tc>
          <w:tcPr>
            <w:tcW w:w="820" w:type="dxa"/>
            <w:vAlign w:val="bottom"/>
            <w:tcBorders>
              <w:bottom w:val="single" w:sz="8" w:color="CCEEFF"/>
            </w:tcBorders>
            <w:shd w:val="clear" w:color="auto" w:fill="CCEEFF"/>
          </w:tcPr>
          <w:p>
            <w:pPr>
              <w:spacing w:after="0"/>
              <w:rPr>
                <w:sz w:val="15"/>
                <w:szCs w:val="15"/>
                <w:color w:val="auto"/>
              </w:rPr>
            </w:pPr>
          </w:p>
        </w:tc>
        <w:tc>
          <w:tcPr>
            <w:tcW w:w="99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Description of Registrant’s securities (Incorporated by reference to exhibit 4.20 the Company’s Annual Report on Form 10-K for the year</w:t>
              </w:r>
            </w:hyperlink>
          </w:p>
        </w:tc>
        <w:tc>
          <w:tcPr>
            <w:tcW w:w="180" w:type="dxa"/>
            <w:vAlign w:val="bottom"/>
            <w:tcBorders>
              <w:bottom w:val="single" w:sz="8" w:color="CCEEFF"/>
            </w:tcBorders>
            <w:gridSpan w:val="3"/>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ended December 31, 2020, as filed on March 31,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4.11</w:t>
            </w:r>
          </w:p>
        </w:tc>
        <w:tc>
          <w:tcPr>
            <w:tcW w:w="8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Warrant Extension Agreement between the Company and 10X Fund L.P. (incorporated by reference to Exhibit 4.11 to the Company’s</w:t>
              </w:r>
            </w:hyperlink>
          </w:p>
        </w:tc>
        <w:tc>
          <w:tcPr>
            <w:tcW w:w="48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Annual Report on form 10-K for the year ended December 31, 2023, as filed on March 29, 2024)</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4.12</w:t>
            </w:r>
          </w:p>
        </w:tc>
        <w:tc>
          <w:tcPr>
            <w:tcW w:w="8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Form of Common Stock Purchase Warrant (incorporated by reference to Exhibit 4.12 to the Company’s Annual Report on form 10-K for</w:t>
              </w:r>
            </w:hyperlink>
          </w:p>
        </w:tc>
        <w:tc>
          <w:tcPr>
            <w:tcW w:w="24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the year ended December 31, 2023, as filed on March 29, 2024)</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9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Galectin Therapeutics 2019 Omnibus Equity Incentive Plan (Incorporated by reference to Appendix A to the Company’s definitive proxy</w:t>
              </w:r>
            </w:hyperlink>
          </w:p>
        </w:tc>
        <w:tc>
          <w:tcPr>
            <w:tcW w:w="20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statement filed with the Commission on October 17, 2019.)</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10.2</w:t>
            </w:r>
          </w:p>
        </w:tc>
        <w:tc>
          <w:tcPr>
            <w:tcW w:w="8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Stock Option Award Agreement under Galectin Therapeutics 2019 Omnibus Equity Incentive Plan (incorporated by reference to</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Exhibit 10.2 to the Company’s Annual Report on form 10-K for the year ended December 31, 2023, as filed on March 29, 2024)</w:t>
              </w:r>
            </w:hyperlink>
          </w:p>
        </w:tc>
        <w:tc>
          <w:tcPr>
            <w:tcW w:w="22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176"/>
        </w:trPr>
        <w:tc>
          <w:tcPr>
            <w:tcW w:w="3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10.3</w:t>
            </w:r>
          </w:p>
        </w:tc>
        <w:tc>
          <w:tcPr>
            <w:tcW w:w="820" w:type="dxa"/>
            <w:vAlign w:val="bottom"/>
            <w:tcBorders>
              <w:bottom w:val="single" w:sz="8" w:color="CCEEFF"/>
            </w:tcBorders>
            <w:shd w:val="clear" w:color="auto" w:fill="CCEEFF"/>
          </w:tcPr>
          <w:p>
            <w:pPr>
              <w:spacing w:after="0"/>
              <w:rPr>
                <w:sz w:val="15"/>
                <w:szCs w:val="15"/>
                <w:color w:val="auto"/>
              </w:rPr>
            </w:pPr>
          </w:p>
        </w:tc>
        <w:tc>
          <w:tcPr>
            <w:tcW w:w="95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Form of Restricted Stock Unit Award Agreement under Galectin Therapeutics 2019 Omnibus Equity Incentive Plan (incorporated by</w:t>
              </w:r>
            </w:hyperlink>
          </w:p>
        </w:tc>
        <w:tc>
          <w:tcPr>
            <w:tcW w:w="520" w:type="dxa"/>
            <w:vAlign w:val="bottom"/>
            <w:tcBorders>
              <w:bottom w:val="single" w:sz="8" w:color="CCEEFF"/>
            </w:tcBorders>
            <w:gridSpan w:val="11"/>
            <w:shd w:val="clear" w:color="auto" w:fill="CCEEFF"/>
          </w:tcPr>
          <w:p>
            <w:pPr>
              <w:spacing w:after="0"/>
              <w:rPr>
                <w:sz w:val="15"/>
                <w:szCs w:val="15"/>
                <w:color w:val="auto"/>
              </w:rPr>
            </w:pPr>
          </w:p>
        </w:tc>
      </w:tr>
      <w:tr>
        <w:trPr>
          <w:trHeight w:val="196"/>
        </w:trPr>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reference to Exhibit 10.3 to the Company’s Annual Report on form 10-K for the year ended December 31, 2023, as filed on March 29,</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2024)</w:t>
              </w:r>
            </w:hyperlink>
          </w:p>
        </w:tc>
        <w:tc>
          <w:tcPr>
            <w:tcW w:w="26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11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32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0000EE"/>
            </w:tcBorders>
            <w:shd w:val="clear" w:color="auto" w:fill="CCEEFF"/>
          </w:tcPr>
          <w:p>
            <w:pPr>
              <w:spacing w:after="0"/>
              <w:rPr>
                <w:sz w:val="18"/>
                <w:szCs w:val="18"/>
                <w:color w:val="auto"/>
              </w:rPr>
            </w:pPr>
          </w:p>
        </w:tc>
        <w:tc>
          <w:tcPr>
            <w:tcW w:w="1760" w:type="dxa"/>
            <w:vAlign w:val="bottom"/>
            <w:tcBorders>
              <w:top w:val="single" w:sz="8" w:color="0000EE"/>
            </w:tcBorders>
            <w:shd w:val="clear" w:color="auto" w:fill="CCEEFF"/>
          </w:tcPr>
          <w:p>
            <w:pPr>
              <w:spacing w:after="0"/>
              <w:rPr>
                <w:sz w:val="18"/>
                <w:szCs w:val="18"/>
                <w:color w:val="auto"/>
              </w:rPr>
            </w:pPr>
          </w:p>
        </w:tc>
        <w:tc>
          <w:tcPr>
            <w:tcW w:w="22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570"/>
        </w:trPr>
        <w:tc>
          <w:tcPr>
            <w:tcW w:w="3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180" w:type="dxa"/>
            <w:vAlign w:val="bottom"/>
            <w:tcBorders>
              <w:top w:val="single" w:sz="8" w:color="CCEEFF"/>
            </w:tcBorders>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77</w:t>
            </w:r>
          </w:p>
        </w:tc>
        <w:tc>
          <w:tcPr>
            <w:tcW w:w="64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58"/>
        </w:trPr>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4"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63"/>
        </w:trPr>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40" w:type="dxa"/>
            <w:vAlign w:val="bottom"/>
            <w:gridSpan w:val="24"/>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38"/>
        </w:trPr>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Employment Agreement dated June 20, 2013 between Jack W. Callicutt and Galectin Therapeutics Inc. (Incorporated by reference to the</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840" w:type="dxa"/>
            <w:vAlign w:val="bottom"/>
            <w:tcBorders>
              <w:top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Company’s Quarterly Report on Form 10-Q as filed with the Commission on August 14, 2013.)</w:t>
              </w:r>
            </w:hyperlink>
          </w:p>
        </w:tc>
        <w:tc>
          <w:tcPr>
            <w:tcW w:w="260" w:type="dxa"/>
            <w:vAlign w:val="bottom"/>
            <w:tcBorders>
              <w:top w:val="single" w:sz="8" w:color="CCEEFF"/>
            </w:tcBorders>
            <w:gridSpan w:val="7"/>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to Employment Agreement dated August 11, 2017 between Jack W. Callicutt and Galectin Therapeutics Inc. (Incorporated by</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reference to the Company’s Quarterly Report on Form 10-Q as filed with the Commission on August 14, 2017.)</w:t>
              </w:r>
            </w:hyperlink>
          </w:p>
        </w:tc>
        <w:tc>
          <w:tcPr>
            <w:tcW w:w="1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5"/>
              </w:rPr>
              <w:t>10.6</w:t>
            </w:r>
          </w:p>
        </w:tc>
        <w:tc>
          <w:tcPr>
            <w:tcW w:w="820" w:type="dxa"/>
            <w:vAlign w:val="bottom"/>
            <w:shd w:val="clear" w:color="auto" w:fill="CCEEFF"/>
          </w:tcPr>
          <w:p>
            <w:pPr>
              <w:spacing w:after="0"/>
              <w:rPr>
                <w:sz w:val="15"/>
                <w:szCs w:val="15"/>
                <w:color w:val="auto"/>
              </w:rPr>
            </w:pP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Employment Agreement, dated August 1, 2024, by and between Galectin Therapeutics Inc. and Khurram Jamil, M.D. (Incorporated by</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72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reference to the Company’s Current Report on Form 8-K as filed with the Commission on August 1, 2024.)</w:t>
              </w:r>
            </w:hyperlink>
          </w:p>
        </w:tc>
        <w:tc>
          <w:tcPr>
            <w:tcW w:w="380" w:type="dxa"/>
            <w:vAlign w:val="bottom"/>
            <w:tcBorders>
              <w:top w:val="single" w:sz="8" w:color="CCEEFF"/>
            </w:tcBorders>
            <w:gridSpan w:val="9"/>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06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Master Services Agreement, effective as of March 12, 2020, by and between Galectin Therapeutics, Inc. and Covance Inc. (Incorporated by</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reference to the Company’s Current Report on Form 8-K as filed with the Commission on March 17,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Work Order, dated as of March 12, 2020, by and between Galectin Therapeutics, Inc. and Covance Clinical Research Unit Inc.</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10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(Incorporated by reference to the Company’s Current Report on Form 8-K as filed with the Commission on March 17, 2020.)</w:t>
              </w:r>
            </w:hyperlink>
          </w:p>
        </w:tc>
        <w:tc>
          <w:tcPr>
            <w:tcW w:w="1000" w:type="dxa"/>
            <w:vAlign w:val="bottom"/>
            <w:tcBorders>
              <w:top w:val="single" w:sz="8" w:color="CCEEFF"/>
            </w:tcBorders>
            <w:gridSpan w:val="13"/>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966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Work Order, dated as of June 22, 2020, by and between Galectin Therapeutics Inc. and Covance Inc. (Incorporated by reference to the</w:t>
              </w:r>
            </w:hyperlink>
          </w:p>
        </w:tc>
        <w:tc>
          <w:tcPr>
            <w:tcW w:w="44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Company’s Current Report on Form 8-K as filed with the Commission on June 26, 2020.)</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02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Convertible Promissory Note, dated April 16, 2021 (Incorporated by reference to the Company’s Current Report on Form 8-K as filed with</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Commission on April 19,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97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Loan Agreement, dated September 17, 2021 (Incorporated by reference to the Company’s Current Report on Form 8-K as filed with the</w:t>
              </w:r>
            </w:hyperlink>
          </w:p>
        </w:tc>
        <w:tc>
          <w:tcPr>
            <w:tcW w:w="320" w:type="dxa"/>
            <w:vAlign w:val="bottom"/>
            <w:tcBorders>
              <w:bottom w:val="single" w:sz="8" w:color="CCEEFF"/>
            </w:tcBorders>
            <w:gridSpan w:val="8"/>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Commission on September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Unsecured Convertible Promissory Note, dated September 17, 2021 (Incorporated by reference to the Company’s Current Report on Form</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8-K as filed with the Commission on September 21, 2021.)</w:t>
              </w:r>
            </w:hyperlink>
          </w:p>
        </w:tc>
        <w:tc>
          <w:tcPr>
            <w:tcW w:w="14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994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Unsecured Convertible Promissory Note, dated December 20, 2021 (Incorporated by reference to the Company’s Current Report on Form</w:t>
              </w:r>
            </w:hyperlink>
          </w:p>
        </w:tc>
        <w:tc>
          <w:tcPr>
            <w:tcW w:w="16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8-K as filed with the Commission on December 21, 2021.)</w:t>
              </w:r>
            </w:hyperlink>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Line of Credit Letter Agreement, dated as of July 25, 2022, by and between Richard E. Uihlein and the Company. (Incorporated by</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reference to exhibit 10.1 the Company’s Current Report on Form 8-K as filed with the Commission on July 26, 2022.)</w:t>
              </w:r>
            </w:hyperlink>
          </w:p>
        </w:tc>
        <w:tc>
          <w:tcPr>
            <w:tcW w:w="660" w:type="dxa"/>
            <w:vAlign w:val="bottom"/>
            <w:tcBorders>
              <w:top w:val="single" w:sz="8" w:color="CCEEFF"/>
            </w:tcBorders>
            <w:gridSpan w:val="1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Form of Convertible Promissory Note issued to Richard E. Uihlein. (Incorporated by reference to exhibit 10.2 the Company’s Current</w:t>
              </w:r>
            </w:hyperlink>
          </w:p>
        </w:tc>
      </w:tr>
      <w:tr>
        <w:trPr>
          <w:trHeight w:val="216"/>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640" w:type="dxa"/>
            <w:vAlign w:val="bottom"/>
            <w:tcBorders>
              <w:top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Report on Form 8-K as filed with the Commission on July 26, 2022.)</w:t>
              </w:r>
            </w:hyperlink>
          </w:p>
        </w:tc>
        <w:tc>
          <w:tcPr>
            <w:tcW w:w="460" w:type="dxa"/>
            <w:vAlign w:val="bottom"/>
            <w:tcBorders>
              <w:top w:val="single" w:sz="8" w:color="CCEEFF"/>
            </w:tcBorders>
            <w:gridSpan w:val="11"/>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Employment Agreement Amendment of Joel Lewis. (Incorporated by reference to exhibit 10.3 the Company’s Current Report on Form 8-K</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6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as filed with the Commission on July 26, 2022.)</w:t>
              </w:r>
            </w:hyperlink>
          </w:p>
        </w:tc>
        <w:tc>
          <w:tcPr>
            <w:tcW w:w="4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2023 Deferred Stock Unit Agreement. (Incorporated by reference to exhibit 10.4 the Company’s Current Report on Form 8-K as filed with</w:t>
              </w:r>
            </w:hyperlink>
          </w:p>
        </w:tc>
      </w:tr>
      <w:tr>
        <w:trPr>
          <w:trHeight w:val="217"/>
        </w:trPr>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24"/>
            <w:shd w:val="clear" w:color="auto" w:fill="CCEEFF"/>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the Commission on July 26, 2022.)</w:t>
              </w:r>
            </w:hyperlink>
          </w:p>
        </w:tc>
        <w:tc>
          <w:tcPr>
            <w:tcW w:w="1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08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2020 Deferred Stock Unit Amendment. (Incorporated by reference to exhibit 10.5 the Company’s Current Report on Form 8-K as filed with</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the Commission on July 26, 2022.)</w:t>
              </w:r>
            </w:hyperlink>
          </w:p>
        </w:tc>
      </w:tr>
      <w:tr>
        <w:trPr>
          <w:trHeight w:val="570"/>
        </w:trPr>
        <w:tc>
          <w:tcPr>
            <w:tcW w:w="3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520" w:type="dxa"/>
            <w:vAlign w:val="bottom"/>
            <w:tcBorders>
              <w:top w:val="single" w:sz="8" w:color="0000EE"/>
            </w:tcBorders>
          </w:tcPr>
          <w:p>
            <w:pPr>
              <w:spacing w:after="0"/>
              <w:rPr>
                <w:sz w:val="24"/>
                <w:szCs w:val="24"/>
                <w:color w:val="auto"/>
              </w:rPr>
            </w:pPr>
          </w:p>
        </w:tc>
        <w:tc>
          <w:tcPr>
            <w:tcW w:w="2460" w:type="dxa"/>
            <w:vAlign w:val="bottom"/>
            <w:tcBorders>
              <w:top w:val="single" w:sz="8" w:color="CCEEFF"/>
            </w:tcBorders>
            <w:gridSpan w:val="6"/>
          </w:tcPr>
          <w:p>
            <w:pPr>
              <w:jc w:val="right"/>
              <w:ind w:right="420"/>
              <w:spacing w:after="0"/>
              <w:rPr>
                <w:sz w:val="20"/>
                <w:szCs w:val="20"/>
                <w:color w:val="auto"/>
              </w:rPr>
            </w:pPr>
            <w:r>
              <w:rPr>
                <w:rFonts w:ascii="Times New Roman" w:cs="Times New Roman" w:eastAsia="Times New Roman" w:hAnsi="Times New Roman"/>
                <w:sz w:val="14"/>
                <w:szCs w:val="14"/>
                <w:color w:val="auto"/>
              </w:rPr>
              <w:t>78</w:t>
            </w:r>
          </w:p>
        </w:tc>
        <w:tc>
          <w:tcPr>
            <w:tcW w:w="14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58"/>
        </w:trPr>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98"/>
              </w:rPr>
              <w:t>10.19</w:t>
            </w:r>
          </w:p>
        </w:tc>
        <w:tc>
          <w:tcPr>
            <w:tcW w:w="994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Supplemental Line of Credit Agreement, dated as of March 29, 2024, by and between Richard E. Uihlein and the Company. (incorporated</w:t>
              </w:r>
            </w:hyperlink>
          </w:p>
        </w:tc>
        <w:tc>
          <w:tcPr>
            <w:tcW w:w="16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by reference to Exhibit 10.19 to the Company’s Annual Report on form 10-K for the year ended December 31, 2023, as filed on March 29,</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2024)</w:t>
              </w:r>
            </w:hyperlink>
          </w:p>
        </w:tc>
        <w:tc>
          <w:tcPr>
            <w:tcW w:w="3680" w:type="dxa"/>
            <w:vAlign w:val="bottom"/>
            <w:tcBorders>
              <w:top w:val="single" w:sz="8" w:color="0000EE"/>
            </w:tcBorders>
            <w:shd w:val="clear" w:color="auto" w:fill="CCEEFF"/>
          </w:tcPr>
          <w:p>
            <w:pPr>
              <w:spacing w:after="0"/>
              <w:rPr>
                <w:sz w:val="18"/>
                <w:szCs w:val="18"/>
                <w:color w:val="auto"/>
              </w:rPr>
            </w:pPr>
          </w:p>
        </w:tc>
        <w:tc>
          <w:tcPr>
            <w:tcW w:w="1680" w:type="dxa"/>
            <w:vAlign w:val="bottom"/>
            <w:tcBorders>
              <w:top w:val="single" w:sz="8" w:color="0000EE"/>
            </w:tcBorders>
            <w:shd w:val="clear" w:color="auto" w:fill="CCEEFF"/>
          </w:tcPr>
          <w:p>
            <w:pPr>
              <w:spacing w:after="0"/>
              <w:rPr>
                <w:sz w:val="18"/>
                <w:szCs w:val="18"/>
                <w:color w:val="auto"/>
              </w:rPr>
            </w:pPr>
          </w:p>
        </w:tc>
        <w:tc>
          <w:tcPr>
            <w:tcW w:w="11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98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Form of Convertible Promissory Note issued to Richard E. Uihlein (incorporated by reference to Exhibit 10.20 to the Company’s Annual</w:t>
              </w:r>
            </w:hyperlink>
          </w:p>
        </w:tc>
        <w:tc>
          <w:tcPr>
            <w:tcW w:w="22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Report on form 10-K for the year ended December 31, 2023, as filed on March 29,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10.21</w:t>
            </w:r>
          </w:p>
        </w:tc>
        <w:tc>
          <w:tcPr>
            <w:tcW w:w="922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Supplemental Line of Credit Agreement, dated as of November 14, 2024, by and between Richard E. Uihlein and the Company.</w:t>
              </w:r>
            </w:hyperlink>
          </w:p>
        </w:tc>
        <w:tc>
          <w:tcPr>
            <w:tcW w:w="880" w:type="dxa"/>
            <w:vAlign w:val="bottom"/>
            <w:tcBorders>
              <w:bottom w:val="single" w:sz="8" w:color="CCEEFF"/>
            </w:tcBorders>
            <w:gridSpan w:val="7"/>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966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(incorporated by reference to Exhibit 10.1 to the Company’s Quarterly Report on form 10-Q for the nine months ended September 30,</w:t>
              </w:r>
            </w:hyperlink>
          </w:p>
        </w:tc>
        <w:tc>
          <w:tcPr>
            <w:tcW w:w="440" w:type="dxa"/>
            <w:vAlign w:val="bottom"/>
            <w:tcBorders>
              <w:bottom w:val="single" w:sz="8" w:color="CCEEFF"/>
            </w:tcBorders>
            <w:gridSpan w:val="5"/>
            <w:shd w:val="clear" w:color="auto" w:fill="CCEEFF"/>
          </w:tcPr>
          <w:p>
            <w:pPr>
              <w:spacing w:after="0"/>
              <w:rPr>
                <w:sz w:val="17"/>
                <w:szCs w:val="17"/>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2024, as filed on November 14,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368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994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Supplemental Line of Credit Agreement, dated as of March 31, 2025, by and between Richard E. Uihlein and the Company. (incorporated</w:t>
              </w:r>
            </w:hyperlink>
          </w:p>
        </w:tc>
        <w:tc>
          <w:tcPr>
            <w:tcW w:w="16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by reference to Exhibit 10.21 to the Company’s Annual Report on form 10-K for the year ended December 31, 2024, as filed on March 31,</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27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2025)</w:t>
              </w:r>
            </w:hyperlink>
          </w:p>
        </w:tc>
        <w:tc>
          <w:tcPr>
            <w:tcW w:w="3680" w:type="dxa"/>
            <w:vAlign w:val="bottom"/>
            <w:tcBorders>
              <w:top w:val="single" w:sz="8" w:color="0000EE"/>
            </w:tcBorders>
            <w:shd w:val="clear" w:color="auto" w:fill="CCEEFF"/>
          </w:tcPr>
          <w:p>
            <w:pPr>
              <w:spacing w:after="0"/>
              <w:rPr>
                <w:sz w:val="17"/>
                <w:szCs w:val="17"/>
                <w:color w:val="auto"/>
              </w:rPr>
            </w:pPr>
          </w:p>
        </w:tc>
        <w:tc>
          <w:tcPr>
            <w:tcW w:w="1680" w:type="dxa"/>
            <w:vAlign w:val="bottom"/>
            <w:tcBorders>
              <w:top w:val="single" w:sz="8" w:color="0000EE"/>
            </w:tcBorders>
            <w:shd w:val="clear" w:color="auto" w:fill="CCEEFF"/>
          </w:tcPr>
          <w:p>
            <w:pPr>
              <w:spacing w:after="0"/>
              <w:rPr>
                <w:sz w:val="17"/>
                <w:szCs w:val="17"/>
                <w:color w:val="auto"/>
              </w:rPr>
            </w:pPr>
          </w:p>
        </w:tc>
        <w:tc>
          <w:tcPr>
            <w:tcW w:w="1120" w:type="dxa"/>
            <w:vAlign w:val="bottom"/>
            <w:tcBorders>
              <w:top w:val="single" w:sz="8" w:color="0000EE"/>
            </w:tcBorders>
            <w:shd w:val="clear" w:color="auto" w:fill="CCEEFF"/>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26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37"/>
        </w:trPr>
        <w:tc>
          <w:tcPr>
            <w:tcW w:w="114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0000EE"/>
            </w:tcBorders>
            <w:shd w:val="clear" w:color="auto" w:fill="CCEEFF"/>
          </w:tcPr>
          <w:p>
            <w:pPr>
              <w:spacing w:after="0"/>
              <w:rPr>
                <w:sz w:val="20"/>
                <w:szCs w:val="20"/>
                <w:color w:val="auto"/>
              </w:rPr>
            </w:pPr>
          </w:p>
        </w:tc>
        <w:tc>
          <w:tcPr>
            <w:tcW w:w="2320" w:type="dxa"/>
            <w:vAlign w:val="bottom"/>
            <w:tcBorders>
              <w:top w:val="single" w:sz="8" w:color="CCEEFF"/>
            </w:tcBorders>
            <w:shd w:val="clear" w:color="auto" w:fill="CCEEFF"/>
          </w:tcPr>
          <w:p>
            <w:pPr>
              <w:spacing w:after="0"/>
              <w:rPr>
                <w:sz w:val="20"/>
                <w:szCs w:val="20"/>
                <w:color w:val="auto"/>
              </w:rPr>
            </w:pPr>
          </w:p>
        </w:tc>
        <w:tc>
          <w:tcPr>
            <w:tcW w:w="36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1140" w:type="dxa"/>
            <w:vAlign w:val="bottom"/>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1010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July 2025 Supplemental Line of Credit Letter Agreement, dated as of July 8, 2025, by and between Richard E. Uihlein and the Company.</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98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(incorporated by reference to Exhibit 10.1 to the Company’s Current Report on Form 8-K, filed on July 9, 2025)</w:t>
              </w:r>
            </w:hyperlink>
          </w:p>
        </w:tc>
        <w:tc>
          <w:tcPr>
            <w:tcW w:w="2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368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jc w:val="right"/>
              <w:ind w:right="630"/>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1008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December 2025 Supplemental Line of Credit Letter Agreement, dated as of December 19, 2025, by and between Richard E. Uihlein and the</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Company. (incorporated by reference to Exhibit 10.1 to the Company’s Current Report on Form 8-K, filed on December 19, 2025)</w:t>
              </w:r>
            </w:hyperlink>
          </w:p>
        </w:tc>
      </w:tr>
      <w:tr>
        <w:trPr>
          <w:trHeight w:val="570"/>
        </w:trPr>
        <w:tc>
          <w:tcPr>
            <w:tcW w:w="1140" w:type="dxa"/>
            <w:vAlign w:val="bottom"/>
            <w:tcBorders>
              <w:top w:val="single" w:sz="8" w:color="CCEEFF"/>
            </w:tcBorders>
          </w:tcPr>
          <w:p>
            <w:pPr>
              <w:spacing w:after="0"/>
              <w:rPr>
                <w:sz w:val="24"/>
                <w:szCs w:val="24"/>
                <w:color w:val="auto"/>
              </w:rPr>
            </w:pPr>
          </w:p>
        </w:tc>
        <w:tc>
          <w:tcPr>
            <w:tcW w:w="6420" w:type="dxa"/>
            <w:vAlign w:val="bottom"/>
            <w:tcBorders>
              <w:top w:val="single" w:sz="8" w:color="0000EE"/>
            </w:tcBorders>
            <w:gridSpan w:val="3"/>
          </w:tcPr>
          <w:p>
            <w:pPr>
              <w:ind w:left="4420"/>
              <w:spacing w:after="0"/>
              <w:rPr>
                <w:sz w:val="20"/>
                <w:szCs w:val="20"/>
                <w:color w:val="auto"/>
              </w:rPr>
            </w:pPr>
            <w:r>
              <w:rPr>
                <w:rFonts w:ascii="Times New Roman" w:cs="Times New Roman" w:eastAsia="Times New Roman" w:hAnsi="Times New Roman"/>
                <w:sz w:val="14"/>
                <w:szCs w:val="14"/>
                <w:color w:val="auto"/>
              </w:rPr>
              <w:t>79</w:t>
            </w:r>
          </w:p>
        </w:tc>
        <w:tc>
          <w:tcPr>
            <w:tcW w:w="16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58"/>
        </w:trPr>
        <w:tc>
          <w:tcPr>
            <w:tcW w:w="1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36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5" w:right="33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4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363"/>
        </w:trPr>
        <w:tc>
          <w:tcPr>
            <w:tcW w:w="306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10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w w:val="98"/>
              </w:rPr>
              <w:t>Description of Document</w:t>
            </w:r>
          </w:p>
        </w:tc>
      </w:tr>
      <w:tr>
        <w:trPr>
          <w:trHeight w:val="238"/>
        </w:trPr>
        <w:tc>
          <w:tcPr>
            <w:tcW w:w="306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100" w:type="dxa"/>
            <w:vAlign w:val="bottom"/>
          </w:tcPr>
          <w:p>
            <w:pPr>
              <w:spacing w:after="0"/>
              <w:rPr>
                <w:sz w:val="20"/>
                <w:szCs w:val="20"/>
                <w:color w:val="auto"/>
              </w:rPr>
            </w:pPr>
          </w:p>
        </w:tc>
      </w:tr>
    </w:tbl>
    <w:p>
      <w:pPr>
        <w:spacing w:after="0" w:line="198" w:lineRule="exact"/>
        <w:rPr>
          <w:sz w:val="20"/>
          <w:szCs w:val="20"/>
          <w:color w:val="auto"/>
        </w:rPr>
      </w:pPr>
    </w:p>
    <w:p>
      <w:pPr>
        <w:ind w:left="1140" w:right="740" w:hanging="1132"/>
        <w:spacing w:after="0" w:line="282" w:lineRule="auto"/>
        <w:tabs>
          <w:tab w:leader="none" w:pos="1140" w:val="left"/>
        </w:tabs>
        <w:numPr>
          <w:ilvl w:val="0"/>
          <w:numId w:val="25"/>
        </w:numPr>
        <w:rPr>
          <w:rFonts w:ascii="Times New Roman" w:cs="Times New Roman" w:eastAsia="Times New Roman" w:hAnsi="Times New Roman"/>
          <w:sz w:val="18"/>
          <w:szCs w:val="18"/>
          <w:u w:val="single" w:color="auto"/>
          <w:color w:val="0000EE"/>
        </w:rPr>
      </w:pPr>
      <w:hyperlink r:id="rId154">
        <w:r>
          <w:rPr>
            <w:rFonts w:ascii="Times New Roman" w:cs="Times New Roman" w:eastAsia="Times New Roman" w:hAnsi="Times New Roman"/>
            <w:sz w:val="18"/>
            <w:szCs w:val="18"/>
            <w:u w:val="single" w:color="auto"/>
            <w:color w:val="0000EE"/>
          </w:rPr>
          <w:t>Insider Trading Policy (incorporated by reference to Exhibit 19 to the Company’s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December 31, 2024, as filed on March 31, 2025)</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8"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27"/>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p>
        </w:tc>
        <w:tc>
          <w:tcPr>
            <w:tcW w:w="360" w:type="dxa"/>
            <w:vAlign w:val="bottom"/>
            <w:shd w:val="clear" w:color="auto" w:fill="CCEEFF"/>
          </w:tcPr>
          <w:p>
            <w:pPr>
              <w:spacing w:after="0"/>
              <w:rPr>
                <w:sz w:val="19"/>
                <w:szCs w:val="19"/>
                <w:color w:val="auto"/>
              </w:rPr>
            </w:pPr>
          </w:p>
        </w:tc>
        <w:tc>
          <w:tcPr>
            <w:tcW w:w="10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Subsidiaries of Galectin Therapeutics Inc.</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10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Consent of Cherry Bekaert LLP, an independent registered public accounting firm.</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Pursuant to Rule 13a-14(a) of the Securities Exchange Act of 1934.</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r>
      <w:tr>
        <w:trPr>
          <w:trHeight w:val="196"/>
        </w:trPr>
        <w:tc>
          <w:tcPr>
            <w:tcW w:w="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460" w:type="dxa"/>
            <w:vAlign w:val="bottom"/>
            <w:tcBorders>
              <w:top w:val="single" w:sz="8" w:color="CCEEFF"/>
            </w:tcBorders>
          </w:tcPr>
          <w:p>
            <w:pPr>
              <w:spacing w:after="0"/>
              <w:rPr>
                <w:sz w:val="18"/>
                <w:szCs w:val="18"/>
                <w:color w:val="auto"/>
              </w:rPr>
            </w:pPr>
          </w:p>
        </w:tc>
      </w:tr>
      <w:tr>
        <w:trPr>
          <w:trHeight w:val="176"/>
        </w:trPr>
        <w:tc>
          <w:tcPr>
            <w:tcW w:w="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04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4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rFonts w:ascii="Times New Roman" w:cs="Times New Roman" w:eastAsia="Times New Roman" w:hAnsi="Times New Roman"/>
          <w:sz w:val="18"/>
          <w:szCs w:val="18"/>
          <w:color w:val="auto"/>
        </w:rPr>
      </w:pPr>
    </w:p>
    <w:p>
      <w:pPr>
        <w:ind w:left="1140" w:right="100" w:hanging="1132"/>
        <w:spacing w:after="0" w:line="282" w:lineRule="auto"/>
        <w:tabs>
          <w:tab w:leader="none" w:pos="1140" w:val="left"/>
        </w:tabs>
        <w:numPr>
          <w:ilvl w:val="0"/>
          <w:numId w:val="26"/>
        </w:numPr>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Executive Compensation Clawback Policy (incorporated by reference to Exhibit 97 to the Company’s Annual Report on form 10-K for the</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year ended December 31, 2023, as filed on March 29, 2025)</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51"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shd w:val="clear" w:color="auto" w:fill="CCEEFF"/>
          </w:tcPr>
          <w:p>
            <w:pPr>
              <w:spacing w:after="0"/>
              <w:rPr>
                <w:sz w:val="20"/>
                <w:szCs w:val="20"/>
                <w:color w:val="auto"/>
              </w:rPr>
            </w:pP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18"/>
                <w:szCs w:val="18"/>
                <w:color w:val="auto"/>
              </w:rPr>
            </w:pPr>
          </w:p>
        </w:tc>
        <w:tc>
          <w:tcPr>
            <w:tcW w:w="103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rFonts w:ascii="Times New Roman" w:cs="Times New Roman" w:eastAsia="Times New Roman" w:hAnsi="Times New Roman"/>
          <w:sz w:val="18"/>
          <w:szCs w:val="18"/>
          <w:color w:val="auto"/>
        </w:rPr>
      </w:pPr>
    </w:p>
    <w:p>
      <w:pPr>
        <w:ind w:left="1140" w:right="500" w:hanging="1132"/>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Annual Report on Form 10-K for the year ended December 31, 2025, has been formatted in Inline XBRL and contained in Exhibit 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w:t>
      </w:r>
    </w:p>
    <w:p>
      <w:pPr>
        <w:spacing w:after="0" w:line="9"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Arrangement pursuant to 601(b)(10)(iii)(A) of Regulation S-K</w:t>
      </w:r>
    </w:p>
    <w:p>
      <w:pPr>
        <w:spacing w:after="0" w:line="203" w:lineRule="exact"/>
        <w:rPr>
          <w:rFonts w:ascii="Times New Roman" w:cs="Times New Roman" w:eastAsia="Times New Roman" w:hAnsi="Times New Roman"/>
          <w:sz w:val="18"/>
          <w:szCs w:val="18"/>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March 31, 2026.</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GALECTIN THERAPEUTICS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Name: JOEL LEWIS.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5" w:right="339" w:bottom="1440" w:gutter="0" w:footer="0" w:header="0"/>
        </w:sectPr>
      </w:pPr>
    </w:p>
    <w:p>
      <w:pPr>
        <w:spacing w:after="0" w:line="18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93179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2">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Lewis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3">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W. Callicutt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E. UIHLEIN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E. Uihlein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GILBERT F. AMELIO,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5">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Gilbert F. Amelio, Ph.D.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HENRY BREM,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93179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6">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Henry Brem, M.D.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BENJAMIN S. CARSON, SR.,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S. Carson, Sr., M.D.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KARY ELDRED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Kary Eldred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D. Freeman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GILBERT S. OMENN,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Gilbert S. Omenn, M.D.,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ELISSA J. SCHWARTZ,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Elissa J. Schwartz,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Harold H. Shlevin, Ph.D.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A. ZORDANI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179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A. Zordani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4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00" w:type="dxa"/>
            <w:vAlign w:val="bottom"/>
          </w:tcPr>
          <w:p>
            <w:pPr>
              <w:spacing w:after="0"/>
              <w:rPr>
                <w:sz w:val="20"/>
                <w:szCs w:val="20"/>
                <w:color w:val="auto"/>
              </w:rPr>
            </w:pPr>
          </w:p>
        </w:tc>
      </w:tr>
      <w:tr>
        <w:trPr>
          <w:trHeight w:val="441"/>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00" w:type="dxa"/>
            <w:vAlign w:val="bottom"/>
          </w:tcPr>
          <w:p>
            <w:pPr>
              <w:spacing w:after="0"/>
              <w:rPr>
                <w:sz w:val="20"/>
                <w:szCs w:val="20"/>
                <w:color w:val="auto"/>
              </w:rPr>
            </w:pPr>
          </w:p>
        </w:tc>
      </w:tr>
      <w:tr>
        <w:trPr>
          <w:trHeight w:val="44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Chairman of the Board</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71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r>
      <w:tr>
        <w:trPr>
          <w:trHeight w:val="71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r>
        <w:trPr>
          <w:trHeight w:val="675"/>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r>
    </w:tbl>
    <w:p>
      <w:pPr>
        <w:spacing w:after="0" w:line="402" w:lineRule="exact"/>
        <w:rPr>
          <w:sz w:val="20"/>
          <w:szCs w:val="20"/>
          <w:color w:val="auto"/>
        </w:rPr>
      </w:pPr>
    </w:p>
    <w:p>
      <w:pPr>
        <w:sectPr>
          <w:pgSz w:w="11900" w:h="16838" w:orient="portrait"/>
          <w:cols w:equalWidth="0" w:num="2">
            <w:col w:w="4020" w:space="720"/>
            <w:col w:w="6500"/>
          </w:cols>
          <w:pgMar w:left="320" w:top="115" w:right="339" w:bottom="1440" w:gutter="0" w:footer="0" w:header="0"/>
          <w:type w:val="continuous"/>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7"/>
                <w:szCs w:val="17"/>
                <w:color w:val="auto"/>
              </w:rPr>
            </w:pPr>
          </w:p>
        </w:tc>
        <w:tc>
          <w:tcPr>
            <w:tcW w:w="9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Reports of Independent Registered Public Accounting Firm (PCAOB ID 677)</w:t>
            </w:r>
          </w:p>
        </w:tc>
        <w:tc>
          <w:tcPr>
            <w:tcW w:w="40" w:type="dxa"/>
            <w:vAlign w:val="bottom"/>
          </w:tcPr>
          <w:p>
            <w:pPr>
              <w:spacing w:after="0"/>
              <w:rPr>
                <w:sz w:val="17"/>
                <w:szCs w:val="17"/>
                <w:color w:val="auto"/>
              </w:rPr>
            </w:pP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5"/>
              </w:rPr>
              <w:t>F-1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2.</w:t>
            </w:r>
          </w:p>
        </w:tc>
        <w:tc>
          <w:tcPr>
            <w:tcW w:w="99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40" w:type="dxa"/>
            <w:vAlign w:val="bottom"/>
          </w:tcPr>
          <w:p>
            <w:pPr>
              <w:spacing w:after="0"/>
              <w:rPr>
                <w:sz w:val="17"/>
                <w:szCs w:val="17"/>
                <w:color w:val="auto"/>
              </w:rPr>
            </w:pPr>
          </w:p>
        </w:tc>
        <w:tc>
          <w:tcPr>
            <w:tcW w:w="900" w:type="dxa"/>
            <w:vAlign w:val="bottom"/>
            <w:gridSpan w:val="2"/>
          </w:tcPr>
          <w:p>
            <w:pPr>
              <w:ind w:left="620"/>
              <w:spacing w:after="0" w:line="202"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464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40" w:type="dxa"/>
            <w:vAlign w:val="bottom"/>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vMerge w:val="continue"/>
          </w:tcPr>
          <w:p>
            <w:pPr>
              <w:spacing w:after="0"/>
              <w:rPr>
                <w:sz w:val="15"/>
                <w:szCs w:val="15"/>
                <w:color w:val="auto"/>
              </w:rPr>
            </w:pPr>
          </w:p>
        </w:tc>
        <w:tc>
          <w:tcPr>
            <w:tcW w:w="99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2024</w:t>
            </w:r>
          </w:p>
        </w:tc>
        <w:tc>
          <w:tcPr>
            <w:tcW w:w="40" w:type="dxa"/>
            <w:vAlign w:val="bottom"/>
          </w:tcPr>
          <w:p>
            <w:pPr>
              <w:spacing w:after="0"/>
              <w:rPr>
                <w:sz w:val="15"/>
                <w:szCs w:val="15"/>
                <w:color w:val="auto"/>
              </w:rPr>
            </w:pPr>
          </w:p>
        </w:tc>
        <w:tc>
          <w:tcPr>
            <w:tcW w:w="880" w:type="dxa"/>
            <w:vAlign w:val="bottom"/>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w w:val="95"/>
              </w:rPr>
              <w:t>F-4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400" w:hanging="365"/>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Changes in Redeemable Convertible Preferred Stock and Stockholders’ Equity (Deficit) for the years ended</w:t>
      </w: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2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18"/>
                <w:szCs w:val="18"/>
                <w:color w:val="0000EE"/>
              </w:rPr>
              <w:t>December 31, 2025 and 2024</w:t>
            </w:r>
          </w:p>
        </w:tc>
        <w:tc>
          <w:tcPr>
            <w:tcW w:w="40" w:type="dxa"/>
            <w:vAlign w:val="bottom"/>
          </w:tcPr>
          <w:p>
            <w:pPr>
              <w:spacing w:after="0"/>
              <w:rPr>
                <w:sz w:val="17"/>
                <w:szCs w:val="17"/>
                <w:color w:val="auto"/>
              </w:rPr>
            </w:pPr>
          </w:p>
        </w:tc>
        <w:tc>
          <w:tcPr>
            <w:tcW w:w="900" w:type="dxa"/>
            <w:vAlign w:val="bottom"/>
            <w:gridSpan w:val="2"/>
          </w:tcPr>
          <w:p>
            <w:pPr>
              <w:ind w:left="620"/>
              <w:spacing w:after="0" w:line="203"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120" w:type="dxa"/>
            <w:vAlign w:val="bottom"/>
            <w:tcBorders>
              <w:top w:val="single" w:sz="8" w:color="0000EE"/>
            </w:tcBorders>
          </w:tcPr>
          <w:p>
            <w:pPr>
              <w:spacing w:after="0"/>
              <w:rPr>
                <w:sz w:val="4"/>
                <w:szCs w:val="4"/>
                <w:color w:val="auto"/>
              </w:rPr>
            </w:pPr>
          </w:p>
        </w:tc>
        <w:tc>
          <w:tcPr>
            <w:tcW w:w="10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34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20" w:type="dxa"/>
            <w:vAlign w:val="bottom"/>
            <w:vMerge w:val="continue"/>
          </w:tcPr>
          <w:p>
            <w:pPr>
              <w:spacing w:after="0"/>
              <w:rPr>
                <w:sz w:val="17"/>
                <w:szCs w:val="17"/>
                <w:color w:val="auto"/>
              </w:rPr>
            </w:pPr>
          </w:p>
        </w:tc>
        <w:tc>
          <w:tcPr>
            <w:tcW w:w="64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2025 and 2024</w:t>
            </w:r>
          </w:p>
        </w:tc>
        <w:tc>
          <w:tcPr>
            <w:tcW w:w="3440" w:type="dxa"/>
            <w:vAlign w:val="bottom"/>
            <w:tcBorders>
              <w:bottom w:val="single" w:sz="8" w:color="CCEEFF"/>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880" w:type="dxa"/>
            <w:vAlign w:val="bottom"/>
            <w:tcBorders>
              <w:bottom w:val="single" w:sz="8" w:color="CCEEFF"/>
            </w:tcBorders>
            <w:shd w:val="clear" w:color="auto" w:fill="CCEEFF"/>
          </w:tcPr>
          <w:p>
            <w:pPr>
              <w:ind w:left="620"/>
              <w:spacing w:after="0" w:line="176" w:lineRule="exact"/>
              <w:rPr>
                <w:sz w:val="20"/>
                <w:szCs w:val="20"/>
                <w:color w:val="auto"/>
              </w:rPr>
            </w:pPr>
            <w:r>
              <w:rPr>
                <w:rFonts w:ascii="Times New Roman" w:cs="Times New Roman" w:eastAsia="Times New Roman" w:hAnsi="Times New Roman"/>
                <w:sz w:val="18"/>
                <w:szCs w:val="18"/>
                <w:color w:val="auto"/>
                <w:w w:val="95"/>
              </w:rPr>
              <w:t>F-7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34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color w:val="auto"/>
                <w:w w:val="88"/>
              </w:rPr>
              <w:t>6.</w:t>
            </w:r>
          </w:p>
        </w:tc>
        <w:tc>
          <w:tcPr>
            <w:tcW w:w="99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 w:type="dxa"/>
            <w:vAlign w:val="bottom"/>
          </w:tcPr>
          <w:p>
            <w:pPr>
              <w:spacing w:after="0"/>
              <w:rPr>
                <w:sz w:val="17"/>
                <w:szCs w:val="17"/>
                <w:color w:val="auto"/>
              </w:rPr>
            </w:pPr>
          </w:p>
        </w:tc>
        <w:tc>
          <w:tcPr>
            <w:tcW w:w="900" w:type="dxa"/>
            <w:vAlign w:val="bottom"/>
            <w:gridSpan w:val="2"/>
          </w:tcPr>
          <w:p>
            <w:pPr>
              <w:ind w:left="620"/>
              <w:spacing w:after="0" w:line="202"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618"/>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top w:val="single" w:sz="8" w:color="0000EE"/>
            </w:tcBorders>
            <w:gridSpan w:val="2"/>
          </w:tcPr>
          <w:p>
            <w:pPr>
              <w:spacing w:after="0"/>
              <w:rPr>
                <w:sz w:val="24"/>
                <w:szCs w:val="24"/>
                <w:color w:val="auto"/>
              </w:rPr>
            </w:pPr>
          </w:p>
        </w:tc>
        <w:tc>
          <w:tcPr>
            <w:tcW w:w="332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82</w:t>
            </w:r>
          </w:p>
        </w:tc>
        <w:tc>
          <w:tcPr>
            <w:tcW w:w="3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Galectin Therapeutics Inc. and Subsidiaries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Galectin Therapeutics Inc. and Subsidiaries (collectively, the “Company”) as of December 31, 2025 and 2024, and the related consolidated statements of operations, changes in redeemable convertible preferred stock and stockholders’ equity (deficit), and cash flows for each of the years then ended, and the related notes. In our opinion, the consolidated financial statements referred to above present fairly, in all material respects, the financial position of the Company as of December 31, 2025 and 2024, and the results of its operations and its cash flows for each of the years then ended,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our audits provide a reasonable basis for our opinion.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Cherry Bekaert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2460" w:type="dxa"/>
            <w:vAlign w:val="bottom"/>
            <w:gridSpan w:val="5"/>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(in thousands, except per share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42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1,716</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40"/>
              <w:spacing w:after="0" w:line="181" w:lineRule="exact"/>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EQUITY (DEFICIT)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8,204</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convertible notes payable and accrued interest, net of debt discounts – related party (Note 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derivative liabilities (Note 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dividends payable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Convertible notes payable and accrued interest, net of debt discounts – related party (Note 5)</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32,702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10,733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liabilities (Note 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 and accrued interest under convertible line of credit, net of debt discount – related party (Note 10)</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101,033</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74,376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C 6% super dividend redeemable convertible preferred stock; 1,000 shares authorized, 176 issued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2025 and 2024, redemption value: $7,966,000, liquidation value: $1,760,000 at</w:t>
            </w:r>
          </w:p>
        </w:tc>
        <w:tc>
          <w:tcPr>
            <w:tcW w:w="24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41"/>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24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Stockholders’ equity (deficit):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Undesignated stock, $0.01 par value; 20,000,000 shares authorized at December 31, 2025 and 2024, 20,000,000</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designated at December 31, 2025 and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A 12% convertible preferred stock; 1,742,500 shares authorized, 1,210,000 and 1,235,000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at December 31, 2025 and 2024, respectively, liquidation value $1,210,000 at December 31, 2025</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w:t>
            </w: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at December 31, 2025 and 2024, 65,201,995 and</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63,157,235 issued and outstanding at December 31, 2025 and 2024,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304,073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296,217</w:t>
            </w: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(432,546)</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(401,572)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(127,918)</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(104,793)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0" w:lineRule="exact"/>
        <w:rPr>
          <w:sz w:val="20"/>
          <w:szCs w:val="20"/>
          <w:color w:val="auto"/>
        </w:rPr>
      </w:pPr>
    </w:p>
    <w:p>
      <w:pPr>
        <w:spacing w:after="0" w:line="221" w:lineRule="exact"/>
        <w:rPr>
          <w:sz w:val="20"/>
          <w:szCs w:val="20"/>
          <w:color w:val="auto"/>
        </w:rPr>
      </w:pPr>
    </w:p>
    <w:p>
      <w:pPr>
        <w:ind w:right="3360"/>
        <w:spacing w:after="0" w:line="286" w:lineRule="auto"/>
        <w:rPr>
          <w:sz w:val="20"/>
          <w:szCs w:val="20"/>
          <w:color w:val="auto"/>
        </w:rPr>
      </w:pPr>
      <w:r>
        <w:rPr>
          <w:rFonts w:ascii="Times New Roman" w:cs="Times New Roman" w:eastAsia="Times New Roman" w:hAnsi="Times New Roman"/>
          <w:sz w:val="18"/>
          <w:szCs w:val="18"/>
          <w:b w:val="1"/>
          <w:bCs w:val="1"/>
          <w:color w:val="auto"/>
        </w:rPr>
        <w:t>GALECTIN THERAPEUTICS INC. AND SUBSIDIARIES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loss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derivatives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common and potential common shares outstanding basic and diluted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156019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ind w:left="380"/>
        <w:spacing w:after="0"/>
        <w:tabs>
          <w:tab w:leader="none" w:pos="170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156019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 thousands, except</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14,290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36,571</w:t>
            </w:r>
          </w:p>
        </w:tc>
        <w:tc>
          <w:tcPr>
            <w:tcW w:w="20" w:type="dxa"/>
            <w:vAlign w:val="bottom"/>
          </w:tcPr>
          <w:p>
            <w:pPr>
              <w:spacing w:after="0"/>
              <w:rPr>
                <w:sz w:val="18"/>
                <w:szCs w:val="18"/>
                <w:color w:val="auto"/>
              </w:rPr>
            </w:pPr>
          </w:p>
        </w:tc>
      </w:tr>
      <w:tr>
        <w:trPr>
          <w:trHeight w:val="241"/>
        </w:trPr>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5,795</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42,433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(42,433)</w:t>
            </w:r>
          </w:p>
        </w:tc>
        <w:tc>
          <w:tcPr>
            <w:tcW w:w="20" w:type="dxa"/>
            <w:vAlign w:val="bottom"/>
          </w:tcPr>
          <w:p>
            <w:pPr>
              <w:spacing w:after="0"/>
              <w:rPr>
                <w:sz w:val="19"/>
                <w:szCs w:val="19"/>
                <w:color w:val="auto"/>
              </w:rPr>
            </w:pPr>
          </w:p>
        </w:tc>
      </w:tr>
      <w:tr>
        <w:trPr>
          <w:trHeight w:val="414"/>
        </w:trPr>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tcPr>
          <w:p>
            <w:pPr>
              <w:spacing w:after="0"/>
              <w:rPr>
                <w:sz w:val="24"/>
                <w:szCs w:val="2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(7,329)</w:t>
            </w:r>
          </w:p>
        </w:tc>
        <w:tc>
          <w:tcPr>
            <w:tcW w:w="32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41"/>
        </w:trPr>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(3,548)</w:t>
            </w:r>
          </w:p>
        </w:tc>
        <w:tc>
          <w:tcPr>
            <w:tcW w:w="3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20"/>
                <w:szCs w:val="20"/>
                <w:color w:val="auto"/>
              </w:rPr>
            </w:pPr>
          </w:p>
        </w:tc>
      </w:tr>
      <w:tr>
        <w:trPr>
          <w:trHeight w:val="223"/>
        </w:trPr>
        <w:tc>
          <w:tcPr>
            <w:tcW w:w="3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(4,614)</w:t>
            </w:r>
          </w:p>
        </w:tc>
        <w:tc>
          <w:tcPr>
            <w:tcW w:w="20" w:type="dxa"/>
            <w:vAlign w:val="bottom"/>
          </w:tcPr>
          <w:p>
            <w:pPr>
              <w:spacing w:after="0"/>
              <w:rPr>
                <w:sz w:val="19"/>
                <w:szCs w:val="19"/>
                <w:color w:val="auto"/>
              </w:rPr>
            </w:pPr>
          </w:p>
        </w:tc>
      </w:tr>
      <w:tr>
        <w:trPr>
          <w:trHeight w:val="223"/>
        </w:trPr>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(30,836)</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(47,047)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(30,974)</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1"/>
        </w:trPr>
        <w:tc>
          <w:tcPr>
            <w:tcW w:w="320" w:type="dxa"/>
            <w:vAlign w:val="bottom"/>
          </w:tcPr>
          <w:p>
            <w:pPr>
              <w:jc w:val="right"/>
              <w:ind w:right="1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line="191" w:lineRule="exact"/>
              <w:rPr>
                <w:sz w:val="20"/>
                <w:szCs w:val="20"/>
                <w:color w:val="auto"/>
              </w:rPr>
            </w:pPr>
            <w:r>
              <w:rPr>
                <w:rFonts w:ascii="Times New Roman" w:cs="Times New Roman" w:eastAsia="Times New Roman" w:hAnsi="Times New Roman"/>
                <w:sz w:val="18"/>
                <w:szCs w:val="18"/>
                <w:color w:val="auto"/>
              </w:rPr>
              <w:t>(0.48)</w:t>
            </w: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(0.76)</w:t>
            </w:r>
          </w:p>
        </w:tc>
      </w:tr>
      <w:tr>
        <w:trPr>
          <w:trHeight w:val="234"/>
        </w:trPr>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63,903</w:t>
            </w:r>
          </w:p>
        </w:tc>
        <w:tc>
          <w:tcPr>
            <w:tcW w:w="320" w:type="dxa"/>
            <w:vAlign w:val="bottom"/>
          </w:tcPr>
          <w:p>
            <w:pPr>
              <w:spacing w:after="0"/>
              <w:rPr>
                <w:sz w:val="20"/>
                <w:szCs w:val="20"/>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62,309</w:t>
            </w:r>
          </w:p>
        </w:tc>
        <w:tc>
          <w:tcPr>
            <w:tcW w:w="20" w:type="dxa"/>
            <w:vAlign w:val="bottom"/>
          </w:tcPr>
          <w:p>
            <w:pPr>
              <w:spacing w:after="0"/>
              <w:rPr>
                <w:sz w:val="20"/>
                <w:szCs w:val="20"/>
                <w:color w:val="auto"/>
              </w:rPr>
            </w:pPr>
          </w:p>
        </w:tc>
      </w:tr>
    </w:tbl>
    <w:p>
      <w:pPr>
        <w:sectPr>
          <w:pgSz w:w="11900" w:h="16838" w:orient="portrait"/>
          <w:cols w:equalWidth="0" w:num="2">
            <w:col w:w="7960" w:space="720"/>
            <w:col w:w="2520"/>
          </w:cols>
          <w:pgMar w:left="320" w:top="115" w:right="3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Series C Super</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Dividend Redeemable</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Convertible</w:t>
      </w:r>
    </w:p>
    <w:p>
      <w:pPr>
        <w:spacing w:after="0" w:line="9"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680" w:type="dxa"/>
            <w:vAlign w:val="bottom"/>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8"/>
        </w:trPr>
        <w:tc>
          <w:tcPr>
            <w:tcW w:w="868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0"/>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tcPr>
          <w:p>
            <w:pPr>
              <w:spacing w:after="0"/>
              <w:rPr>
                <w:sz w:val="18"/>
                <w:szCs w:val="18"/>
                <w:color w:val="auto"/>
              </w:rPr>
            </w:pPr>
          </w:p>
        </w:tc>
      </w:tr>
      <w:tr>
        <w:trPr>
          <w:trHeight w:val="241"/>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 EQUITY (DEFICIT) — (Continued)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86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Series A 12%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86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186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Borders>
              <w:bottom w:val="single" w:sz="8" w:color="auto"/>
            </w:tcBorders>
            <w:gridSpan w:val="3"/>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11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262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110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1"/>
                <w:szCs w:val="21"/>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61,852,914</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291,847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(354,372)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(61,964)</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A 12% convertible</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dividend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24,700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convertible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dividend</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35,200</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142,370</w:t>
            </w:r>
          </w:p>
        </w:tc>
        <w:tc>
          <w:tcPr>
            <w:tcW w:w="82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stock options, net of</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withheld for exercise</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473,370</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378,000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warrants in connection</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 related party line of credit</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250,548</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(47,047)</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(47,047)</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1,235,000</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63,157,235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62</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296,217</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(401,572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(104,793</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71"/>
        </w:trPr>
        <w:tc>
          <w:tcPr>
            <w:tcW w:w="2620" w:type="dxa"/>
            <w:vAlign w:val="bottom"/>
          </w:tcPr>
          <w:p>
            <w:pPr>
              <w:ind w:left="140"/>
              <w:spacing w:after="0" w:line="171" w:lineRule="exact"/>
              <w:rPr>
                <w:sz w:val="20"/>
                <w:szCs w:val="20"/>
                <w:color w:val="auto"/>
              </w:rPr>
            </w:pPr>
            <w:r>
              <w:rPr>
                <w:rFonts w:ascii="Times New Roman" w:cs="Times New Roman" w:eastAsia="Times New Roman" w:hAnsi="Times New Roman"/>
                <w:sz w:val="18"/>
                <w:szCs w:val="18"/>
                <w:color w:val="auto"/>
              </w:rPr>
              <w:t>Series A 12% convertible</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dividend</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24,450</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Series C super dividend</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redeemable convertible</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dividend</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29,032</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Conversion of Series A</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preferred to</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6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4,167</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 from</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1,090,164</w:t>
            </w:r>
          </w:p>
        </w:tc>
        <w:tc>
          <w:tcPr>
            <w:tcW w:w="82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792,537</w:t>
            </w:r>
          </w:p>
        </w:tc>
        <w:tc>
          <w:tcPr>
            <w:tcW w:w="8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warrants in connection</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related party line of credit</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104,400</w:t>
            </w:r>
          </w:p>
        </w:tc>
        <w:tc>
          <w:tcPr>
            <w:tcW w:w="8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(30,836)</w:t>
            </w:r>
          </w:p>
        </w:tc>
        <w:tc>
          <w:tcPr>
            <w:tcW w:w="1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(30,836)</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1,210,000</w:t>
            </w:r>
          </w:p>
        </w:tc>
        <w:tc>
          <w:tcPr>
            <w:tcW w:w="240" w:type="dxa"/>
            <w:vAlign w:val="bottom"/>
          </w:tcPr>
          <w:p>
            <w:pPr>
              <w:spacing w:after="0"/>
              <w:rPr>
                <w:sz w:val="17"/>
                <w:szCs w:val="17"/>
                <w:color w:val="auto"/>
              </w:rPr>
            </w:pPr>
          </w:p>
        </w:tc>
        <w:tc>
          <w:tcPr>
            <w:tcW w:w="600" w:type="dxa"/>
            <w:vAlign w:val="bottom"/>
          </w:tcPr>
          <w:p>
            <w:pPr>
              <w:jc w:val="right"/>
              <w:ind w:right="41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65,201,995</w:t>
            </w:r>
          </w:p>
        </w:tc>
        <w:tc>
          <w:tcPr>
            <w:tcW w:w="220" w:type="dxa"/>
            <w:vAlign w:val="bottom"/>
          </w:tcPr>
          <w:p>
            <w:pPr>
              <w:spacing w:after="0"/>
              <w:rPr>
                <w:sz w:val="17"/>
                <w:szCs w:val="17"/>
                <w:color w:val="auto"/>
              </w:rPr>
            </w:pPr>
          </w:p>
        </w:tc>
        <w:tc>
          <w:tcPr>
            <w:tcW w:w="820" w:type="dxa"/>
            <w:vAlign w:val="bottom"/>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65</w:t>
            </w:r>
          </w:p>
        </w:tc>
        <w:tc>
          <w:tcPr>
            <w:tcW w:w="2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304,073</w:t>
            </w:r>
          </w:p>
        </w:tc>
        <w:tc>
          <w:tcPr>
            <w:tcW w:w="2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(432,546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(127,918</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2220" w:type="dxa"/>
            <w:vAlign w:val="bottom"/>
            <w:gridSpan w:val="4"/>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(30,836)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(47,047)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right to use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1,659</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convertible notes payable and convertible line of credit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6,235</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(6,042)</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convertible line of credit – related party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21,000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proceeds from issuance of common stock</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3,235</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exercise of common stock options and warrants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2,240</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cash from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26,475</w:t>
            </w: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31,227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15,120</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25,660</w:t>
            </w:r>
          </w:p>
        </w:tc>
        <w:tc>
          <w:tcPr>
            <w:tcW w:w="0" w:type="dxa"/>
            <w:vAlign w:val="bottom"/>
          </w:tcPr>
          <w:p>
            <w:pPr>
              <w:spacing w:after="0"/>
              <w:rPr>
                <w:sz w:val="1"/>
                <w:szCs w:val="1"/>
                <w:color w:val="auto"/>
              </w:rPr>
            </w:pPr>
          </w:p>
        </w:tc>
      </w:tr>
      <w:tr>
        <w:trPr>
          <w:trHeight w:val="241"/>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preferred stock dividends in common stock</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purchase warrants issued in connection with related party line of credit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right to use lease asset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Series A preferred to common stock</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GALECTIN THERAPEUTICS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40" w:hanging="532"/>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Business, Basis of Presentation, Liquidity, and Going Concern</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operated at a loss since its inception and has had no revenues. The Company anticipates that losses will continue for the foreseeable future. At December 31, 2025, the company had $17.7 million of unrestricted cash and cash equivalents available to fund future operations. As of December 31, 2025, the Company has available borrowings under a line of credit in the amount of $10 million provided by our chairman, Richard Uihlein, (See Notes 10). The Company believes there is sufficient cash, including availability of the line of credit, to fund currently planned operations through April 2027.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85" w:lineRule="exact"/>
        <w:rPr>
          <w:sz w:val="20"/>
          <w:szCs w:val="20"/>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(“GAAP”).</w:t>
      </w:r>
    </w:p>
    <w:p>
      <w:pPr>
        <w:spacing w:after="0" w:line="160"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Basis of Consolidation. </w:t>
      </w:r>
      <w:r>
        <w:rPr>
          <w:rFonts w:ascii="Times New Roman" w:cs="Times New Roman" w:eastAsia="Times New Roman" w:hAnsi="Times New Roman"/>
          <w:sz w:val="18"/>
          <w:szCs w:val="18"/>
          <w:color w:val="auto"/>
        </w:rPr>
        <w:t>The consolidated financial statements include the accounts of the Company and Galectin Therapeutics Security Corp., its wholly-owned subsidiary, which was incorporated in Delaware on December 23, 2003 and Galectin Sciences LLC (see Note 13). All intercompany transactions have been eliminated.</w:t>
      </w:r>
    </w:p>
    <w:p>
      <w:pPr>
        <w:spacing w:after="0" w:line="17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make estimates and judgments that may affect the reported amounts of assets, liabilities, equity, revenue, expenses and related disclosure of contingent assets and liabilities. Management’s estimates and judgments include assumptions used in stock option valuations, accrued liabilities, derivative valuations, deferred income taxes and various other assumptions that are believed to be reasonable under the circumstances. Actual results may differ from those estimates under different assumptions or conditions.</w:t>
      </w: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Company has certain financial assets and liabilities recorded at fair value. Fair values determined by Level 1 inputs utilize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See Footnote 6 for Fair Value of Derivatives related to Convertible Notes Payable at December 31, 2024 and 2023, which are level 3 liabilities.</w:t>
      </w:r>
    </w:p>
    <w:p>
      <w:pPr>
        <w:spacing w:after="0" w:line="18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The Company considers all highly-liquid investments with original maturities of 90 days or less at the time of acquisition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had no cash equivalents at December 31, 2025 or 2024.</w:t>
      </w:r>
    </w:p>
    <w:p>
      <w:pPr>
        <w:spacing w:after="0" w:line="15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Prepaid Expenses and Other Current Assets. </w:t>
      </w:r>
      <w:r>
        <w:rPr>
          <w:rFonts w:ascii="Times New Roman" w:cs="Times New Roman" w:eastAsia="Times New Roman" w:hAnsi="Times New Roman"/>
          <w:sz w:val="18"/>
          <w:szCs w:val="18"/>
          <w:color w:val="auto"/>
        </w:rPr>
        <w:t>Prepaid expenses and other assets consist principally of prepaid insurance, deposits related to the NAVIGATE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and deferred financing costs (see Note 10).</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Property and equipment, including leasehold improvements, are stated at cost, net of accumulated depreciation and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173"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Security Deposit. </w:t>
      </w:r>
      <w:r>
        <w:rPr>
          <w:rFonts w:ascii="Times New Roman" w:cs="Times New Roman" w:eastAsia="Times New Roman" w:hAnsi="Times New Roman"/>
          <w:sz w:val="18"/>
          <w:szCs w:val="18"/>
          <w:color w:val="auto"/>
        </w:rPr>
        <w:t>At December 31, 2025 and 2024, the Company had a security deposit of $6,000 for leased office space included in Prepaid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Current Assets.</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w:t>
      </w:r>
      <w:r>
        <w:rPr>
          <w:rFonts w:ascii="Times New Roman" w:cs="Times New Roman" w:eastAsia="Times New Roman" w:hAnsi="Times New Roman"/>
          <w:sz w:val="18"/>
          <w:szCs w:val="18"/>
          <w:color w:val="auto"/>
        </w:rPr>
        <w:t>The Company reviews all long-lived assets for impairment whenever events or circumstances indicate the carrying amount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 There were no impairments of long-lived assets at December 31, 2025 or 2024.</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Accrued Expenses</w:t>
      </w:r>
      <w:r>
        <w:rPr>
          <w:rFonts w:ascii="Times New Roman" w:cs="Times New Roman" w:eastAsia="Times New Roman" w:hAnsi="Times New Roman"/>
          <w:sz w:val="18"/>
          <w:szCs w:val="18"/>
          <w:color w:val="auto"/>
        </w:rPr>
        <w:t>. As part of the process of preparing our consolidated financial statements, we are required to estimate accrued expenses. This process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88"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The Company has issued common stock warrants in connection with the execution of certain equity and debt financings. The fair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is determined using the Black-Scholes option-pricing model using assumptions regarding volatility of our common share price, remaining life of the warrant, and risk-free interest rates at each period end. There were no warrant liabilities as of December 31, 2025 or 2024.</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including personnel costs, allocated facility costs, lab supplies, outside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contract laboratory costs related to manufacturing drug product, clinical trials and preclinical studies are charged to research and development expense as incurred. The Company accounts for nonrefundable advance payments for goods and services that will be used in future research and development activities as expense when the service has been performed or when the goods have been received. Our current NAVIGATE clinical trial is being supported by third-party contract research organizations, or CROs, and other vendors. We accrue expenses for clinical trial activities performed by CROs based upon the estimated amount of work completed on each trial. For clinical trial expenses and related expenses associated with the conduct of clinical trials, the significant factors used in estimating accruals include the number of patients enrolled, the number of active clinical sites, and the duration for which the patients have been enrolled in the trial. We monitor patient enrollment levels and related activities to the extent possible through internal reviews, review of contractual terms and correspondence with CROs. We base our estimates on the best information available at the time. We monitor patient enrollment levels and related activities to the extent possible through discussions with CRO personnel and based our estimates of clinical trial costs on the best information available at the time. However, additional information may become available to us which will allow us to make a more accurate estimate in future periods. In that event, we may be required to record adjustments to research and development expenses in future periods when the actual level of activity becomes more certain.</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Company accounts for income taxes in accordance with the accounting rules that requires an asset and liability approach to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Financial instruments that subject the Company to credit risk consist of cash and cash equivalents. The Company maintains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certificates of deposit with well-capitalized financial institutions. At times, those amounts may exceed federally insured limits. The Company has not experienced any losses in such accounts and believes it is not exposed to significant credit risk beyond the normal credit risk associated with commercial banking relationships. The Company has no other significant concentrations of credit risk.</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cost is measured at the grant date based on the fair value of the award and is recognized as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amendments in ASU 2023-09 address investor requests for enhanced income tax information primarily through changes to disclosure regarding rate reconciliation and income taxes paid both in the United States and in foreign jurisdictions. This guidance is effective for fiscal years beginning after December 15, 2024 on a prospective basis, with the option to apply the standard retrospectively, and early adoption is permitted. The Company adopted ASU 2023-09 in the year ended December 31, 2025, and reflected the amendments on a prospective basis. See note 14.</w:t>
      </w:r>
    </w:p>
    <w:p>
      <w:pPr>
        <w:spacing w:after="0" w:line="21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The amendments in ASU 2024-03 address investor requests for more detailed expense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The Company is currently evaluating this guidance to determine the impact it may have on its consolidated financial statements.</w:t>
      </w:r>
    </w:p>
    <w:p>
      <w:pPr>
        <w:spacing w:after="0" w:line="1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ASUS 2024-04, </w:t>
      </w:r>
      <w:r>
        <w:rPr>
          <w:rFonts w:ascii="Times New Roman" w:cs="Times New Roman" w:eastAsia="Times New Roman" w:hAnsi="Times New Roman"/>
          <w:sz w:val="18"/>
          <w:szCs w:val="18"/>
          <w:i w:val="1"/>
          <w:iCs w:val="1"/>
          <w:color w:val="auto"/>
        </w:rPr>
        <w:t>Debt- Debt with Conversions and Other Option.</w:t>
      </w:r>
      <w:r>
        <w:rPr>
          <w:rFonts w:ascii="Times New Roman" w:cs="Times New Roman" w:eastAsia="Times New Roman" w:hAnsi="Times New Roman"/>
          <w:sz w:val="18"/>
          <w:szCs w:val="18"/>
          <w:color w:val="auto"/>
        </w:rPr>
        <w:t xml:space="preserve"> ASU 2024-04 is intended to clarify requirements for determining whether certain settlements of convertible debt instruments, including convertible debt instruments with cash conversion features or convertible debt instruments that are not currently convertible, should be accounted for as an induced conversion. This ASU is effective for all entities for annual reporting periods beginning after December 15, 2025, and interim reporting periods within those annual reporting periods, with early adoption permitted. The Company is currently evaluating the potential impact of this guidance on its disclosures.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40" w:hanging="532"/>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03"/>
        </w:trPr>
        <w:tc>
          <w:tcPr>
            <w:tcW w:w="4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8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w:t>
            </w:r>
          </w:p>
        </w:tc>
        <w:tc>
          <w:tcPr>
            <w:tcW w:w="82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60" w:type="dxa"/>
            <w:vAlign w:val="bottom"/>
            <w:vMerge w:val="continue"/>
          </w:tcPr>
          <w:p>
            <w:pPr>
              <w:spacing w:after="0"/>
              <w:rPr>
                <w:sz w:val="24"/>
                <w:szCs w:val="24"/>
                <w:color w:val="auto"/>
              </w:rPr>
            </w:pPr>
          </w:p>
        </w:tc>
        <w:tc>
          <w:tcPr>
            <w:tcW w:w="8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at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research and development costs and other</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6,588</w:t>
            </w:r>
          </w:p>
        </w:tc>
        <w:tc>
          <w:tcPr>
            <w:tcW w:w="0" w:type="dxa"/>
            <w:vAlign w:val="bottom"/>
          </w:tcPr>
          <w:p>
            <w:pPr>
              <w:spacing w:after="0"/>
              <w:rPr>
                <w:sz w:val="1"/>
                <w:szCs w:val="1"/>
                <w:color w:val="auto"/>
              </w:rPr>
            </w:pPr>
          </w:p>
        </w:tc>
      </w:tr>
      <w:tr>
        <w:trPr>
          <w:trHeight w:val="241"/>
        </w:trPr>
        <w:tc>
          <w:tcPr>
            <w:tcW w:w="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hanging="532"/>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Convertible Notes Payable – Related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16, 2021, the Company and Richard E. Uihlein entered into a debt financing arrangement whereby Mr. Uihlein loaned $10,000,000 to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consideration for the loan, the Company issued a convertible promissory note (the “April 2021 Note”) in the principal amount of ten million dollars.</w:t>
      </w:r>
    </w:p>
    <w:p>
      <w:pPr>
        <w:spacing w:after="0" w:line="20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April 2021 Note had an original maturity date of April 16, 2025, is prepayable at the option of the Company in whole or in part at any time and is convertible into the Company’s common stock at a conversion price equal to $5.00 per share at the option of the noteholder. The April 2021 Note bears interest at the rate of two percent (2%) per annum, compounded annually with an effective interest rate of approximately 3%. For the years ended December 31, 2025 and 2024, approximately $216,000 and $212,000, respectively, of interest expense was accrued and included with the principal in the financial statements.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April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April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April 2021 Note at its inception. The fair value of the contingent interest derivative liability was $420,000 at note inception (April 16, 2021). The fair value of the contingent interest derivative liability was $1,680,000 and $47,000 and December 31, 2025 and 2024, respectively, and is recognized as a derivative liability in the consolidated balance sheet. The change in the fair value of the derivative liability for the years ended December 31, 2024 and 2023 of ($1,633,000) and ($384,000), respectively, was charged to other expense/(income) for the years ended December 31, 2025 and 2024. The amortization of the original $420,000 debt discount of $31,000 and $105,000 was recorded as additional interest expense for the years ended December 31, 2025 and 2024,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14, 2024, Mr. Uihlein, as holder of the April 2021 Note irrevocably elected to convert the entire principal amount of such note, plus accrued and unpaid interest, into shares of common stock of the Company at a price of $5.00 per share, effective as of April 16, 2025, which is the maturity date of the April 2021 Note. In connection with entering into the March 2025 Supplemental Line of Credit (see Note 10), the Company agreed to extend the maturity date of the Convertible Promissory Note dated April 2021 from April 16, 2025 to September 30, 2025. Additionally, in connection with entering into the July 2025 Supplemental Line of Credit (see Note 10), the Company agreed to extend the maturity date of the Convertible Promissory Note dated April 2021 from September 30, 2025 to September 30, 2026. Finally, in connection with entering into the December 2025 Supplemental Line of Credit (see Note 10), the Company agreed to extend the maturity date of the Convertible Promissory Note dated April 2021 from September 30, 2026 to June 30, 2027. The April 2021 Note will remain outstanding and accrue interest until maturity, and no shares of common stock will be issued as a result of this election until June 30, 2027.</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September 17, 2021, the Company and Mr. Uihlein entered into a loan agreement in the aggregate of $20,000,000 (the “Loan Agreement”) to be funded in two closings and evidenced by two separate unsecured convertible promissory notes. The first of the two promissory notes was also executed and delivered on September 17, 2021, (the “September 2021 Note”) to evidence the first loan in the principal amount of $10,000,000. The second closing under the Loan Agreement for the remaining $10,000,000 occurred on December 20, 2021.</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September 2021 Note had an original maturity date of September 17, 2025, which was also extended to June 30, 2027, is prepayable at the option of the Company in whole or in part at any time and is convertible into the Company’s common stock at a conversion price equal to $8.64 per share at the option of the noteholder. The September 2021 Note bears interest at the rate of two percent (2%) per annum, compounded annually with an effective interest rate of approximately 3%. For the years ended December 31, 2025 and 2024, approximately $215,000 and $210,000, respectively, of interest expense was accrued and included with the principal in the financial statements.</w:t>
      </w:r>
    </w:p>
    <w:p>
      <w:pPr>
        <w:spacing w:after="0" w:line="1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 September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September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September Note at its inception. The fair value of the contingent interest derivative liability was $433,000 at note inception (September 17, 2021). The fair value of the contingent interest derivative liability was $924,000 and $94,000 and December 31, 2025 and 2024, respectively, and is recognized as a derivative liability in the consolidated balance sheet. The change in the fair value of the derivative liability for the years ended December 31, 2025 and 2024 of ($830,000) and ($75,000), respectively, was recorded to other expense/(income) for the years ended December 31, 2025 and 2024. The amortization of the original $433,000 debt discount of $77,000 and $108,000 was recorded as additional interest expense for the years ended December 31, 2025 and 2024, respectively.</w:t>
      </w:r>
    </w:p>
    <w:p>
      <w:pPr>
        <w:spacing w:after="0" w:line="17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On December 20, 2021, the second of the two promissory notes under the Loan Agreement was executed and delivered, (the “December 2021 Note”) to evidence the second loan in the principal amount of $10,000,000. The December 2021 Note had an original maturity date of December 20, 2025, which was also extended to June 30, 2027, is prepayable at the option of the Company in whole or in part at any time and is convertible into the Company’s common stock at a conversion price equal to $5.43 per share at the option of the noteholder. The December Note bears interest at the rate of two percent (2%) per annum, compounded annually with an effective interest rate of approximately 3%. For the years ended December 31, 2025 and 2024, approximately $213,000 and $209,000, respectively, of interest expense was accrued and included with the principal in the financial statements.</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December 2021 Note also includes a contingent interest component that requires the Company to pay additional interest at a rate of two and one-half percent (2.5%) per quarter (10% per annum) (the “Additional Interest”) beginning on the date of issuance of this Note and ending on the maturity date, provided however, that such payment is only required if and only if the noteholder elects to convert the entire balance of the December 2021 Note into the Company’s common stock on or prior to maturity. As the contingent event is not based on creditworthiness, such feature is not clearly and closely related to the host instrument and accordingly must be bifurcated and recognized as a derivative liability and a debt discount on the December Note at its inception. The fair value of the contingent interest derivative liability was $415,000 at note inception (December 20, 2021). The fair value of the contingent interest derivative liability was $1,358,000 and $275,000 at December 31, 2025 and 2024, respectively, and is recognized as a derivative liability in the consolidated balance sheet. The change in the fair value of the derivative liability for the years ended December 31, 2025 and 2024 of ($1,083,000) and ($129,000), respectively was recorded to other expense/(income) for the years ended December 31, 2025 and 2024. The amortization of the original $415,000 debt discount of $101,000 and $104,000 was recorded as additional interest expense for the years ended December 31, 2025 and 2024, respectively.</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contractual cash obligations related to the outstanding convertible notes payable is a repayment of the repayment of the September 2021 Note of the $10,000,000 plus accrued interest on June 30, 2027 and a repayment of the December 2021 Note of the $10,000,000 plus accrued interest on June 30, 2027, unless converted at the option of the noteholder.</w:t>
      </w:r>
    </w:p>
    <w:p>
      <w:pPr>
        <w:spacing w:after="0" w:line="36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5" w:right="5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40" w:hanging="532"/>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level 1 or 2 assets or liabilities at December 31, 2025 or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and liabilities measured and recorded at fair value on a recurring basis at December 31, 2025 and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April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shd w:val="clear" w:color="auto" w:fill="CCEEFF"/>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September Note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94,000</w:t>
            </w:r>
          </w:p>
        </w:tc>
      </w:tr>
      <w:tr>
        <w:trPr>
          <w:trHeight w:val="216"/>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 – Contingent Interest December Note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275,000</w:t>
            </w:r>
          </w:p>
        </w:tc>
      </w:tr>
    </w:tbl>
    <w:p>
      <w:pPr>
        <w:spacing w:after="0" w:line="19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April 2021 Note derivative liability – contingent interest was valued using a Monte Carlo Geometric Brownian Stock Path Model. The key assumptions used in the model at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 years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0.29 years</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43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April 2021 Note derivative liability – contingent interest is as follows: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431,000</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(384,000)</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1,633,000</w:t>
            </w:r>
          </w:p>
        </w:tc>
      </w:tr>
      <w:tr>
        <w:trPr>
          <w:trHeight w:val="241"/>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September 2021 Note derivative liability – contingent interest was valued using a Monte Carlo Geometric Brownian Stock Path Model. The key assumptions used in the model at inception, and at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 years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0.72 years</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32"/>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roll forward of the September 2021 Note derivative liability – contingent interest is as follows:</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169,000</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8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830,000</w:t>
            </w:r>
          </w:p>
        </w:tc>
        <w:tc>
          <w:tcPr>
            <w:tcW w:w="0" w:type="dxa"/>
            <w:vAlign w:val="bottom"/>
          </w:tcPr>
          <w:p>
            <w:pPr>
              <w:spacing w:after="0"/>
              <w:rPr>
                <w:sz w:val="1"/>
                <w:szCs w:val="1"/>
                <w:color w:val="auto"/>
              </w:rPr>
            </w:pPr>
          </w:p>
        </w:tc>
      </w:tr>
      <w:tr>
        <w:trPr>
          <w:trHeight w:val="241"/>
        </w:trPr>
        <w:tc>
          <w:tcPr>
            <w:tcW w:w="8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4"/>
                <w:szCs w:val="14"/>
                <w:color w:val="auto"/>
              </w:rPr>
              <w:t>F-16</w:t>
            </w: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8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December 2021 Note derivative liability – contingent interest was valued using a Monte Carlo Geometric Brownian Stock Path Model. The key assumptions used in the model at inception, and at December 31, 2025 and 2024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8"/>
                <w:szCs w:val="18"/>
                <w:color w:val="auto"/>
              </w:rPr>
            </w:pPr>
          </w:p>
        </w:tc>
        <w:tc>
          <w:tcPr>
            <w:tcW w:w="14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60" w:type="dxa"/>
            <w:vAlign w:val="bottom"/>
            <w:tcBorders>
              <w:bottom w:val="single" w:sz="8" w:color="CCEEFF"/>
            </w:tcBorders>
          </w:tcPr>
          <w:p>
            <w:pPr>
              <w:spacing w:after="0"/>
              <w:rPr>
                <w:sz w:val="21"/>
                <w:szCs w:val="21"/>
                <w:color w:val="auto"/>
              </w:rPr>
            </w:pPr>
          </w:p>
        </w:tc>
        <w:tc>
          <w:tcPr>
            <w:tcW w:w="71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Price of conversion feature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c>
          <w:tcPr>
            <w:tcW w:w="7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 years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0.97 years</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Adjusted Discount Rate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Volatility</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32"/>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 forward of the December 2021 Note derivative liability – contingent interest is as follows: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404,000</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(129,000)</w:t>
            </w:r>
          </w:p>
        </w:tc>
        <w:tc>
          <w:tcPr>
            <w:tcW w:w="0" w:type="dxa"/>
            <w:vAlign w:val="bottom"/>
          </w:tcPr>
          <w:p>
            <w:pPr>
              <w:spacing w:after="0"/>
              <w:rPr>
                <w:sz w:val="1"/>
                <w:szCs w:val="1"/>
                <w:color w:val="auto"/>
              </w:rPr>
            </w:pPr>
          </w:p>
        </w:tc>
      </w:tr>
      <w:tr>
        <w:trPr>
          <w:trHeight w:val="216"/>
        </w:trPr>
        <w:tc>
          <w:tcPr>
            <w:tcW w:w="7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1,083,000</w:t>
            </w:r>
          </w:p>
        </w:tc>
        <w:tc>
          <w:tcPr>
            <w:tcW w:w="0" w:type="dxa"/>
            <w:vAlign w:val="bottom"/>
          </w:tcPr>
          <w:p>
            <w:pPr>
              <w:spacing w:after="0"/>
              <w:rPr>
                <w:sz w:val="1"/>
                <w:szCs w:val="1"/>
                <w:color w:val="auto"/>
              </w:rPr>
            </w:pPr>
          </w:p>
        </w:tc>
      </w:tr>
      <w:tr>
        <w:trPr>
          <w:trHeight w:val="241"/>
        </w:trPr>
        <w:tc>
          <w:tcPr>
            <w:tcW w:w="7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5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7.</w:t>
            </w:r>
          </w:p>
        </w:tc>
        <w:tc>
          <w:tcPr>
            <w:tcW w:w="714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60" w:type="dxa"/>
            <w:vAlign w:val="bottom"/>
            <w:vMerge w:val="continue"/>
          </w:tcPr>
          <w:p>
            <w:pPr>
              <w:spacing w:after="0"/>
              <w:rPr>
                <w:sz w:val="24"/>
                <w:szCs w:val="24"/>
                <w:color w:val="auto"/>
              </w:rPr>
            </w:pPr>
          </w:p>
        </w:tc>
        <w:tc>
          <w:tcPr>
            <w:tcW w:w="71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December 31, 2025, the Company had 150,000,000 shares of common stock and 20,000,000 undesignated shares authorized. As of December 31, 2024,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 All issued and outstanding shares of Series B-1, Series B-2 and Series B-3 Preferred Stock were converted into Common Stock on January 19, 2019.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At Market Issuance of Common Stock</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11, 2020, the Company entered into an At Market Issuance Sales Agreement (the “2020 At Market Agreement”) with a sales agent under which the Company may issue and sell shares of its common stock having an aggregate offering price of up to $40.0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2020 At Market Agreement. During the year ended December 31, 2025, 792,537 shares of common stock were issued under the 2020 At Market Agreement for net proceeds of approximately $3,235,000. There were no issuances of common stock under the 2020 At Market Agreement during the year ended December 31,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12% Convertible Preferred Stock — February 4, 2008 Private Placement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18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2025, 25,000 shares of Series A were converted into 4,167 shares of common stock. Prior to 2025, a total of 532,500 shares of Series A had been converted into 85,409 shares of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6% Super Dividend Redeemable Convertible Preferred Stock</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Series C are as follows:</w:t>
      </w:r>
    </w:p>
    <w:p>
      <w:pPr>
        <w:spacing w:after="0" w:line="22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Each holder of Series C may convert all, but not less than all, of his Series C shares plus accrued and unpaid dividends into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the price of $6.00 per share of Common Stock (“Conversion Price”), such that approximately 1,667 shares of Common Stock will be issued per each converted share of Series C (accrued and unpaid dividends will be issued as additional shares). At December 31, 2025 and 2024, the 176 outstanding shares of Series C were convertible into a total of approximately 293,340 shares of Common Stock.</w:t>
      </w:r>
    </w:p>
    <w:p>
      <w:pPr>
        <w:spacing w:after="0" w:line="18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Series C shall be entitled to receive cumulative non-compounding dividends at the rate per share of Series C equal to the greater of</w:t>
      </w:r>
    </w:p>
    <w:p>
      <w:pPr>
        <w:spacing w:after="0" w:line="29" w:lineRule="exact"/>
        <w:rPr>
          <w:sz w:val="20"/>
          <w:szCs w:val="20"/>
          <w:color w:val="auto"/>
        </w:rPr>
      </w:pPr>
    </w:p>
    <w:p>
      <w:pPr>
        <w:ind w:left="220" w:hanging="212"/>
        <w:spacing w:after="0"/>
        <w:tabs>
          <w:tab w:leader="none" w:pos="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per annum of the Stated Value (also defined as the “Floor”) or (ii) 2.5% of net sales until the total dividends paid is equal to the initial investment</w:t>
      </w:r>
    </w:p>
    <w:p>
      <w:pPr>
        <w:spacing w:after="0" w:line="9" w:lineRule="exact"/>
        <w:rPr>
          <w:rFonts w:ascii="Times New Roman" w:cs="Times New Roman" w:eastAsia="Times New Roman" w:hAnsi="Times New Roman"/>
          <w:sz w:val="18"/>
          <w:szCs w:val="18"/>
          <w:color w:val="auto"/>
        </w:rPr>
      </w:pPr>
    </w:p>
    <w:p>
      <w:pPr>
        <w:jc w:val="both"/>
        <w:spacing w:after="0" w:line="23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(GM-CT-01), less chargebacks, returns, expenses attributable to product recalls, duties, customs, sales tax, freight, insurance, shipping expenses, allowances and other customary deductions.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Series C Post Conversion Dividend Right</w:t>
      </w:r>
      <w:r>
        <w:rPr>
          <w:rFonts w:ascii="Times New Roman" w:cs="Times New Roman" w:eastAsia="Times New Roman" w:hAnsi="Times New Roman"/>
          <w:sz w:val="18"/>
          <w:szCs w:val="18"/>
          <w:color w:val="auto"/>
        </w:rPr>
        <w:t>. In the event that any share of Series C is converted into Common Stock before the Maximum Payout is paid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18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In the event of any liquidation, dissolution or winding up of the Company, either voluntarily or involuntarily, the holders of Series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Upon a sale of the Company, the Company shall redeem all of the then outstanding shares of Series C and Series C Preferred Stock Post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Rights within thirty (30) days after the transaction constituting the sale of the Company is closed and such closing is fully funded. The price to redeem a share of Series C and each redeemed Series C Preferred Stock Post Conversion Redemption Right shall be equal to (i) (A)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ROI Percentage</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200%</w:t>
      </w:r>
      <w:r>
        <w:rPr>
          <w:sz w:val="20"/>
          <w:szCs w:val="20"/>
          <w:color w:val="auto"/>
        </w:rPr>
        <w:tab/>
      </w:r>
      <w:r>
        <w:rPr>
          <w:rFonts w:ascii="Times New Roman" w:cs="Times New Roman" w:eastAsia="Times New Roman" w:hAnsi="Times New Roman"/>
          <w:sz w:val="18"/>
          <w:szCs w:val="18"/>
          <w:color w:val="auto"/>
        </w:rPr>
        <w:t>before the second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250%</w:t>
      </w:r>
      <w:r>
        <w:rPr>
          <w:sz w:val="20"/>
          <w:szCs w:val="20"/>
          <w:color w:val="auto"/>
        </w:rPr>
        <w:tab/>
      </w:r>
      <w:r>
        <w:rPr>
          <w:rFonts w:ascii="Times New Roman" w:cs="Times New Roman" w:eastAsia="Times New Roman" w:hAnsi="Times New Roman"/>
          <w:sz w:val="18"/>
          <w:szCs w:val="18"/>
          <w:color w:val="auto"/>
        </w:rPr>
        <w:t>on or after the second anniversary of the date of issuance, but before the third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300%</w:t>
      </w:r>
      <w:r>
        <w:rPr>
          <w:sz w:val="20"/>
          <w:szCs w:val="20"/>
          <w:color w:val="auto"/>
        </w:rPr>
        <w:tab/>
      </w:r>
      <w:r>
        <w:rPr>
          <w:rFonts w:ascii="Times New Roman" w:cs="Times New Roman" w:eastAsia="Times New Roman" w:hAnsi="Times New Roman"/>
          <w:sz w:val="18"/>
          <w:szCs w:val="18"/>
          <w:color w:val="auto"/>
        </w:rPr>
        <w:t>on or after the third anniversary of the date of issuance, but before the fourth anniversary of the date of issuance;</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350%</w:t>
      </w:r>
      <w:r>
        <w:rPr>
          <w:sz w:val="20"/>
          <w:szCs w:val="20"/>
          <w:color w:val="auto"/>
        </w:rPr>
        <w:tab/>
      </w:r>
      <w:r>
        <w:rPr>
          <w:rFonts w:ascii="Times New Roman" w:cs="Times New Roman" w:eastAsia="Times New Roman" w:hAnsi="Times New Roman"/>
          <w:sz w:val="18"/>
          <w:szCs w:val="18"/>
          <w:color w:val="auto"/>
        </w:rPr>
        <w:t>on or after the fourth anniversary of the date of issuance, but before the fifth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400%</w:t>
      </w:r>
      <w:r>
        <w:rPr>
          <w:sz w:val="20"/>
          <w:szCs w:val="20"/>
          <w:color w:val="auto"/>
        </w:rPr>
        <w:tab/>
      </w:r>
      <w:r>
        <w:rPr>
          <w:rFonts w:ascii="Times New Roman" w:cs="Times New Roman" w:eastAsia="Times New Roman" w:hAnsi="Times New Roman"/>
          <w:sz w:val="18"/>
          <w:szCs w:val="18"/>
          <w:color w:val="auto"/>
        </w:rPr>
        <w:t>on or after the fifth anniversary of the date of issuance, but before the sixth anniversary of the date of issuance;</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450%</w:t>
      </w:r>
      <w:r>
        <w:rPr>
          <w:sz w:val="20"/>
          <w:szCs w:val="20"/>
          <w:color w:val="auto"/>
        </w:rPr>
        <w:tab/>
      </w:r>
      <w:r>
        <w:rPr>
          <w:rFonts w:ascii="Times New Roman" w:cs="Times New Roman" w:eastAsia="Times New Roman" w:hAnsi="Times New Roman"/>
          <w:sz w:val="18"/>
          <w:szCs w:val="18"/>
          <w:color w:val="auto"/>
        </w:rPr>
        <w:t>on or after the sixth anniversary of the date of issuance, but before the seventh anniversary of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500%</w:t>
      </w:r>
      <w:r>
        <w:rPr>
          <w:sz w:val="20"/>
          <w:szCs w:val="20"/>
          <w:color w:val="auto"/>
        </w:rPr>
        <w:tab/>
      </w:r>
      <w:r>
        <w:rPr>
          <w:rFonts w:ascii="Times New Roman" w:cs="Times New Roman" w:eastAsia="Times New Roman" w:hAnsi="Times New Roman"/>
          <w:sz w:val="18"/>
          <w:szCs w:val="18"/>
          <w:color w:val="auto"/>
        </w:rPr>
        <w:t>on or after the seventh anniversary of the date of issuance, but before the eighth anniversary of the date of issuance; and</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550%</w:t>
      </w:r>
      <w:r>
        <w:rPr>
          <w:sz w:val="20"/>
          <w:szCs w:val="20"/>
          <w:color w:val="auto"/>
        </w:rPr>
        <w:tab/>
      </w:r>
      <w:r>
        <w:rPr>
          <w:rFonts w:ascii="Times New Roman" w:cs="Times New Roman" w:eastAsia="Times New Roman" w:hAnsi="Times New Roman"/>
          <w:sz w:val="18"/>
          <w:szCs w:val="18"/>
          <w:color w:val="auto"/>
        </w:rPr>
        <w:t>on or after the eighth anniversary of the date of issuance, but before the ninth anniversary of the date of issuance.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Due to the redemption feature, the Company has presented the Series C outside of permanent equity, in the mezzanine of the consolidated balance sheets at December 31, 2025 and 2024. At December 31, 2025, the Series C redemption value was $7,966,000.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Series C shares have no voting rights.</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1"/>
        </w:trPr>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7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activity is summarized as follows:</w:t>
            </w: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2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9,256,493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Issued</w:t>
            </w:r>
          </w:p>
        </w:tc>
        <w:tc>
          <w:tcPr>
            <w:tcW w:w="79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(142,503)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23"/>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r>
        <w:trPr>
          <w:trHeight w:val="236"/>
        </w:trPr>
        <w:tc>
          <w:tcPr>
            <w:tcW w:w="8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9,595,940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w w:val="99"/>
              </w:rPr>
              <w:t>Issued</w:t>
            </w:r>
          </w:p>
        </w:tc>
        <w:tc>
          <w:tcPr>
            <w:tcW w:w="79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7"/>
                <w:szCs w:val="17"/>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Canceled/Expired</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(5,843,786)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r>
      <w:tr>
        <w:trPr>
          <w:trHeight w:val="241"/>
        </w:trPr>
        <w:tc>
          <w:tcPr>
            <w:tcW w:w="8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4,172,144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expiration of the warrants outstanding as of December 31, 2025 is 1.6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regard to outstanding warrants issued in connection with equity and debt financings and consultants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in Connection With</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Exercisable Date</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 Date</w:t>
            </w:r>
          </w:p>
        </w:tc>
      </w:tr>
      <w:tr>
        <w:trPr>
          <w:trHeight w:val="216"/>
        </w:trPr>
        <w:tc>
          <w:tcPr>
            <w:tcW w:w="5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23, 2019 Rights Offering warrants</w:t>
            </w: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2,622,144</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7.00</w:t>
            </w:r>
          </w:p>
        </w:tc>
        <w:tc>
          <w:tcPr>
            <w:tcW w:w="22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23, 2019</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May 23, 2026</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July 22, 2022 Warrants issued in connection with related party line of credit</w:t>
            </w:r>
          </w:p>
        </w:tc>
        <w:tc>
          <w:tcPr>
            <w:tcW w:w="1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22,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December 29, 2023 Warrants issued for draw on related party line of credit</w:t>
            </w: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29,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29, 2024 Warrants issued for draw on related party line of credit</w:t>
            </w:r>
          </w:p>
        </w:tc>
        <w:tc>
          <w:tcPr>
            <w:tcW w:w="1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29,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June 28, 2024 Warrants issued for draw on related party line of credit</w:t>
            </w: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3.39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June 28,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 Warrants issued for draw on related party line of credit</w:t>
            </w:r>
          </w:p>
        </w:tc>
        <w:tc>
          <w:tcPr>
            <w:tcW w:w="1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4.13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September 30,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2025 Warrants issued for draw on related party line of credit</w:t>
            </w: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3.00</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30,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 Warrants issued for draw on related party line of credit</w:t>
            </w:r>
          </w:p>
        </w:tc>
        <w:tc>
          <w:tcPr>
            <w:tcW w:w="16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3.50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June 30, 2025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8"/>
                <w:szCs w:val="18"/>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Warrants issued for draw on related party line of credit</w:t>
            </w:r>
          </w:p>
        </w:tc>
        <w:tc>
          <w:tcPr>
            <w:tcW w:w="16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6.08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31, 2029</w:t>
            </w:r>
          </w:p>
        </w:tc>
        <w:tc>
          <w:tcPr>
            <w:tcW w:w="20" w:type="dxa"/>
            <w:vAlign w:val="bottom"/>
          </w:tcPr>
          <w:p>
            <w:pPr>
              <w:spacing w:after="0"/>
              <w:rPr>
                <w:sz w:val="19"/>
                <w:szCs w:val="19"/>
                <w:color w:val="auto"/>
              </w:rPr>
            </w:pPr>
          </w:p>
        </w:tc>
      </w:tr>
      <w:tr>
        <w:trPr>
          <w:trHeight w:val="241"/>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Warrants</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4"/>
        </w:trPr>
        <w:tc>
          <w:tcPr>
            <w:tcW w:w="5480" w:type="dxa"/>
            <w:vAlign w:val="bottom"/>
          </w:tcPr>
          <w:p>
            <w:pPr>
              <w:spacing w:after="0"/>
              <w:rPr>
                <w:sz w:val="24"/>
                <w:szCs w:val="24"/>
                <w:color w:val="auto"/>
              </w:rPr>
            </w:pPr>
          </w:p>
        </w:tc>
        <w:tc>
          <w:tcPr>
            <w:tcW w:w="1600" w:type="dxa"/>
            <w:vAlign w:val="bottom"/>
            <w:gridSpan w:val="4"/>
          </w:tcPr>
          <w:p>
            <w:pPr>
              <w:jc w:val="right"/>
              <w:ind w:right="1320"/>
              <w:spacing w:after="0"/>
              <w:rPr>
                <w:sz w:val="20"/>
                <w:szCs w:val="20"/>
                <w:color w:val="auto"/>
              </w:rPr>
            </w:pPr>
            <w:r>
              <w:rPr>
                <w:rFonts w:ascii="Times New Roman" w:cs="Times New Roman" w:eastAsia="Times New Roman" w:hAnsi="Times New Roman"/>
                <w:sz w:val="14"/>
                <w:szCs w:val="14"/>
                <w:color w:val="auto"/>
                <w:w w:val="98"/>
              </w:rPr>
              <w:t>F-22</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8"/>
        </w:trPr>
        <w:tc>
          <w:tcPr>
            <w:tcW w:w="5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ectPr>
          <w:pgSz w:w="11900" w:h="16838" w:orient="portrait"/>
          <w:cols w:equalWidth="0" w:num="1">
            <w:col w:w="11240"/>
          </w:cols>
          <w:pgMar w:left="320" w:top="11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Stock-Based Compensation Plans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At December 31, 2025,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originally for the issuance of up to 4,000,000 shares of the Company’s common stock, subsequently increased to 7,000,000 in December 2021, and increased to 10,000,000 in December 2023 in the form of options, stock appreciation rights, restricted stock and other stock-based awards to employees, officers, directors, consultants and other eligible persons. At December 31, 2024, 4,135,213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Following is the stock-based compensation expense related to common stock options, restricted common stock, common stock warrants and deferred stock units: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4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1,225</w:t>
            </w:r>
          </w:p>
        </w:tc>
      </w:tr>
      <w:tr>
        <w:trPr>
          <w:trHeight w:val="24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options granted is determined using the Black-Scholes option-pricing model. The following weighted average assumptions were used: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the options</w:t>
            </w:r>
          </w:p>
        </w:tc>
        <w:tc>
          <w:tcPr>
            <w:tcW w:w="1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5.6 years</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the underlying stock</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2025, the Company does not anticipate any option awards will be forfeited in the calculation of compensation expense due to the limited number of employees that receive stock option grants and the Company’s historical employee turnover; however, any forfeitures will be accounted for as incurred.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in the stock-based compensation plans: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66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6,333,841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1,373,000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(348,750)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(503,333)</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6,854,758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Forfeited/Cancelled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(403,085)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(1,090,164)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6,572,509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December 31, 2025</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gridSpan w:val="2"/>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6,237,508</w:t>
            </w:r>
          </w:p>
        </w:tc>
        <w:tc>
          <w:tcPr>
            <w:tcW w:w="2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2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2025, based on the closing price of the Company’s common stock of $4.16 on that date.</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values of options granted during 2025 and 2024 were $0.87 and $1.26, respectively. As of December 31, 2025 and 2024, there were unvested options to purchase 335,001 and 716,504 shares of common stock, respectively. Total expected unrecognized compensation cost related to such unvested options is $283,000 at December 31, 2024, which is expected to be recognized over a weighted-average period of 1 year.</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1,255,418 and 1,966,167 options became vested, respectively. The total grant date fair value of options vested during the years ended December 31, 2025 and 2024 was $1,273,328 and $2,772,748,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additional information regarding outstanding and exercisable options under our stock-based compensation plans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Options Exercisable</w:t>
            </w:r>
          </w:p>
        </w:tc>
      </w:tr>
      <w:tr>
        <w:trPr>
          <w:trHeight w:val="194"/>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Price (Range)</w:t>
            </w: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4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$0.89 – 1.50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1,771,541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$1.51 – 2.50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3,022,227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2,922,227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$2.51 – 5.00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1,558,741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1,558,741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$5.01 – 6.71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220,000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w:t>
            </w:r>
          </w:p>
        </w:tc>
      </w:tr>
      <w:tr>
        <w:trPr>
          <w:trHeight w:val="241"/>
        </w:trPr>
        <w:tc>
          <w:tcPr>
            <w:tcW w:w="46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6,572,509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6,138,254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45"/>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F-24</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8"/>
        </w:trPr>
        <w:tc>
          <w:tcPr>
            <w:tcW w:w="46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Issuances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January 2025, the Company issued 504,000 restricted stock units to its employees valued at $620,000 at the date of grant. These restricted stock units would vest 100% on January 1, 2026 if the grantees remained employed on December 31, 2025. A total of 334,000 restricted stock units vested on January 1, 2026 and the expense was amortized ratably in 2025.</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January 2025, one director elected to take a restricted stock grant in lieu of cash retainers for 2025. A total of 32,520 shares of restricted stock valued at approximately $40,000 was amortized to expense on a straight-line basis until December 31, 2025 when the stock vested in full.</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January 2024, the Company issued 408,000 restricted stock units to its employees valued at $734,000 at the date of grant. These restricted stock units would vest 100% if the Company publicly presents the results of the Interim Analysis of its NAVIGATE clinical trial on or before December 31, 2024. The Company believed it was probable that the vesting condition will be met and is amortized the restricted stock unit expense ratably in 2024. The vesting condition was met in December 2024.</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January 2024, one director elected to take a restricted stock grant in lieu of cash retainers for 2024. A total of 23,256 shares of restricted stock valued at approximately $40,000 was amortized to expense on a straight-line basis until December 31, 2024 when the stock vested in full.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Stock Units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an employment agreement with its new Chief Executive Officer whereby 20% of his base salary and performance bonuses will be paid in cash, and 80% will be paid in the form of deferred stock units (“</w:t>
      </w:r>
      <w:r>
        <w:rPr>
          <w:rFonts w:ascii="Times New Roman" w:cs="Times New Roman" w:eastAsia="Times New Roman" w:hAnsi="Times New Roman"/>
          <w:sz w:val="18"/>
          <w:szCs w:val="18"/>
          <w:u w:val="single" w:color="auto"/>
          <w:color w:val="auto"/>
        </w:rPr>
        <w:t>DSUs</w:t>
      </w:r>
      <w:r>
        <w:rPr>
          <w:rFonts w:ascii="Times New Roman" w:cs="Times New Roman" w:eastAsia="Times New Roman" w:hAnsi="Times New Roman"/>
          <w:sz w:val="18"/>
          <w:szCs w:val="18"/>
          <w:color w:val="auto"/>
        </w:rPr>
        <w:t>”) through December 31, 2022 in accordance with the terms and subject to the provisions set forth in the DSU Agreement. DSUs credited to Mr. Lewis as of any date shall be fully vested and nonforfeitable at all times. Pursuant to an amendment to the DSU Agreement in July 2022, the Company shall issue the shares earned through December 31, 2022 underlying the outstanding whole number of DSUs credited to Mr. Lewis as follows: twenty five percent shall be issued on March 1, 2023, fifty percent shall be issued on March 1, 2024 and twenty five percent shall be issued on September 1, 2028.</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March 1, 2024, fifty percent of the DSU’s were issued to Mr. Lewis in accordance with the DSU Agreement. A total of 367,800 shares were due to be issued; however, 153,288 shares were withheld to cover income tax withholding of $300,445 resulting in 214,512 shares actually issued. On March 1, 2023, twenty five percent of the DSU’s were issued to Mr. Lewis in accordance with the DSU Agreement. A total of 183,900 shares were due to be issued; however, 75,529 shares were withheld to cover income tax withholding of $156,345 resulting in 108,371 shares actually issued.</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Additionally, a 2023 DSU Agreement was executed in July 2022, whereby Mr. Lewis would continue to receive 20% of salary in cash and 80% in DSUs for 2023. The shares under the 2023 DSU Agreement are to be issued fifty percent on March 1, 2025 and fifty percent on January 5, 2026.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March 1, 2025, fifty percent of the DSU’s were issued to Mr. Lewis in accordance with the 2023DSU Agreement. A total of 137,563 shares were due to be issued; however, 56,420 shares were withheld to cover income tax withholding of $88,579 resulting in 81,144 shares actually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unrecognized compensation expense related to the DSUs.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Convertible Line of Credit – Related Party and Supplemental Lines of Credit – Related Party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July 25, 2022, the Company and Richard E. Uihlein (the “Lender”) entered into a Line of Credit Letter Agreement (the “Credit Agreement”), pursuant to which the Lender shall provide the Company a line of credit of up to $60.0 million (the “Line of Credit”) to finance the Company’s working capital needs. The Company may draw upon the Line of Credit through July 31, 2024.</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were originally due on or before January 31, 2026, however, the maturity date was extended to September 30, 2026 in connection with a new line of credit dated July 8, 2025. Due to the extension of the maturity date for all lines of credit, the remaining amortization expense of the warrants issued with each draw was adjusted prospectively from July 8, 2025 through September 30, 2026. In connection with another new line of credit dated December 31, 2025, the maturity date for all lines of credit was extended to June 30, 2027. Only with the consent of the Lender, may the Promissory Notes be prepaid, in whole or in part, at any time without premium or penalty, but with interest on the amount or amounts prepaid.</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Credit Agreement, the Company agreed to issue the Lender warrants to purchase up to an aggregate of 1,700,000 shares of the Company’s common stock, par value $0.001 per share (collectively, the “Warrants”). Upon execution of the Credit Agreement, the Company issued the Lender a Warrant to purchase up to 500,000 shares of Company’s Common Stock at an exercise price of $5.00 per share, which Warrant is exercisable upon issuance. Further, pursuant to the Credit Agreement, the Company shall issue to the Lender additional Warrants to purchase up to the remaining 1,200,000 shares of the Company’s common stock, ratably, upon borrowings under the Credit Agreement,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fair value of the 500,000 warrants vested at closing on July 25, 2022 was $738,000 at the date of issuance based on the following assumptions: an expected life of 7 years, volatility of 92%, risk free interest rate of 3.19% and zero dividends. The fair value of the vested warrants was recorded in other assets (non-current) as a deferred financing cost and will be amortized on a straight-line basis from July 25, 2022 through January 31, 2026, which was adjusted to September 30, 2026 in connection with the extension of maturity in July 2025, and further adjusted to June 30, 2027 in connection with the extension of maturity in December 2025. Amortization for the years ended December 31, 2025 and 2024 of $154,000 and $210,000, respectively, was recorded as interest expense.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19, 2022, the Company executed a $10 million Promissory Note under the Line of Credit. The interest rate on this draw is 6.46% (Applicable Federal Rate for short term loans on date of draw of 4.46% plus 2%). The effective interest rate is approximately 7.1%. Accrued interest on this draw was approximately $2,158,000 and $1,399,000 at December 31, 2025 and 2024,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19, 2022 was $160,780 at the date of issuance based on the following assumptions: an expected life of 7 years, volatility of 91%, risk free interest rate of 4.06% and zero dividends. The proceeds were allocated between the Promissory Note and the warrants issued, and the amount allocated to the warrants was recorded as a debt discount netted against principal to be amortized on a straight-line basis, which is not materially different than the effective interest method, from December 19, 2022 through January 31, 2026, which was adjusted to September 30, 2026 in connection with the extension of maturity in July 2025, and further adjusted to June 30, 2027 in connection with the extension of maturity in December 2025. Amortization for the years ended December 31, 2025 and 2024 of $38,000 and $52,000, respectively, was recorded as interest expense.</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March 31, 2023, the Company executed an additional $10 million Promissory Note under the Line of Credit. The interest rate on this draw is 6.41% (Applicable Federal Rate for short term loans on date of draw of 4.41% plus 2%). The effective interest rate is approximately 7.1%. Accrued interest on this draw was approximately $1,922,000 and $1,184,000 at December 31, 2025 and 2024, respectively. The principal and accrued interest is convertible at the option of the Lender at $3.00 per share. In accordance with the Credit Agreement, the Company issued the Lender a Warrant to purchase up to 200,000 shares of Company’s Common Stock at an exercise price of $3.26 per share, which Warrant is exercisable upon issuance.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31, 2023 was $296,680 at the date of issuance based on the following assumptions: an expected life of 6.33 years, volatility of 88%, risk free interest rate of 3.94%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31, 2023 through January 31, 2026, which was adjusted to September 30, 2026 in connection with the extension of maturity in July 2025, and further adjusted to June 30, 2027 in connection with the extension of maturity in December 2025. Amortization for the year ended December 31, 2025 and 2024 of $77,000 and $105,000, respectively, was recorded as interest expense.</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30, 2023, the Company executed an additional $10 million Promissory Note under the Line of Credit. The interest rate on this draw is 6.34% (Applicable Federal Rate for short term loans on date of draw of 4.34% plus 2%). The effective interest rate is approximately 7.1%. Accrued interest on this draw was approximately $1,713,000 and $995,000 at December 31, 2025 and 2024,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30, 2023 was $179,920 at the date of issuance based on the following assumptions: an expected life of 6.08 years, volatility of 85%, risk free interest rate of 3.59%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2023 through January 31, 2026, which was adjusted to September 30, 2026 in connection with the extension of maturity in July 2025, and further adjusted to June 30, 2027 in connection with the extension of maturity in December 2025. Amortization for the year ended December 31, 2025 and 2024 of $51,000 and $69,000, respectively, was recorded as interest expense.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29, 2023, the Company executed an additional $10 million Promissory Note under the Line of Credit. The interest rate on this draw is 7.13% (Applicable Federal Rate for short term loans on date of draw of 5.13% plus 2%). The effective interest rate is approximately 7.5%. Accrued interest on this draw was approximately $1,532,000 and $737,000 at December 31, 2025 and 2024, respectively. The principal and accrued interest is convertible at the option of the Lender at $3.00 per share. In accordance with the Credit Agreement, the Company issued the Lender a Warrant to purchase up to 200,000 shares of Company’s Common Stock at an exercise price of $3.00 per share, which Warrant is exercisable upon issuance.</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December 31, 2023 was $193,745 at the date of issuance based on the following assumptions: an expected life of 5.7 years, volatility of 79%, risk free interest rate of 4.49%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29, 2023 through January 31, 2026, which was adjusted to September 30, 2026 in connection with the extension of maturity in July 2025, and further adjusted to June 30, 2027 in connection with the extension of maturity in December 2025. Amortization for the year ended December 31, 2025 and 2024 of $69,000 and $93,000, respectively, was recorded as interest expense.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March 29, 2024, the Company executed an additional $10 million Promissory Note under the Line of Credit. The interest rate on this draw is 6.62% (Applicable Federal Rate for short term loans on date of draw of 4.62% plus 2%). The effective interest rate is approximately 7.1%. Accrued interest on this draw was $1,229,000 and $508,000 at December 31, 2025 and 2024, respectively. The principal and accrued interest is convertible at the option of the Lender at $3.00 per share. In accordance with the Credit Agreement, the Company issued the Lender a Warrant to purchase up to 200,000 shares of Company’s Common Stock at an exercise price of $3.59 per share, which Warrant is exercisable upon issuance.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March 29, 2024, was $277,389 at the date of issuance based on the following assumptions: an expected life of 5.33 years, volatility of 75%, risk free interest rate of 4.19%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March 29, 2024 through January 31, 2026, which was adjusted to September 30, 2026 in connection with the extension of maturity in July 2025, and further adjusted to June 30, 2027 in connection with the extension of maturity in December 2025. Amortization for the year ended December 31, 2025 and 2024 of $111,000 and $114,000, respectively, was recorded as interest expense.</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June 28, 2024, the Company executed an additional $10 million Promissory Note under the Line of Credit. The interest rate on this draw is 7.01% (Applicable Federal Rate for short term loans on date of draw of 5.01% plus 2%). The effective interest rate is approximately 7.4%. Accrued interest on this draw was $1,110,000 and $336,000 at December 31, 2025 and 2024, respectively. The principal and accrued interest is convertible at the option of the Lender at $3.00 per share. In accordance with the Credit Agreement, the Company issued the Lender a Warrant to purchase up to 200,000 shares of Company’s Common Stock at an exercise price of $3.39 per share, which Warrant is exercisable upon issuance.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200,000 warrants vested at closing on June 28, 2024, was $260,000 at the date of issuance based on the following assumptions: an expected life of 5.03 years, volatility of 77%, risk free interest rate of 4.29%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28, 2024 through January 31, 2026, which was adjusted to September 30, 2026 in connection with the extension of maturity in July 2025, and further adjusted to June 30, 2027 in connection with the extension of maturity in December 2025. Amortization for the year ended December 31, 2025 and 2024 of $121,000 and $82,000, respectively, was recorded as interest expense.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March 29, 2024, the Company and Richard E. Uihlein (the “Lender”) entered into a Supplemental Line of Credit Letter Agreement (the “Supplemental Credit Agreement”), pursuant to which the Lender shall provide the Company a line of credit of up to $10.0 million (the “Supplemental Line of Credit”) to finance the Company’s working capital needs. The Company may draw upon the Supplemental Line of Credit through March 31, 2025.</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January 31, 2026, which was adjusted to September 30, 2026 in connection with the extension of maturity in July 2025, and further adjusted to June 30, 2027 in connection with the extension of maturity in December 2025. Only with the consent of the Lender, may the Promissory Notes be prepaid, in whole or in part, at any time without premium or penalty, but with interest on the amount or amounts prepaid.</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In connection with the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2024, the Company executed a $10 million Promissory Note under the Supplemental Line of Credit. The interest rate on this draw is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6.48% (Applicable Federal Rate for short term loans on date of draw of 5.01% plus 2%). The effective interest rate is approximately 6.4%. Accrued interest on this draw was $841,000 and $154,000 at December 31, 2025 and 2024, respectively. The principal and accrued interest is convertible at the option of the Lender at $3.00 per share.</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accordance with the Credit Agreement, the Company issued the Lender a Warrant to purchase up to 200,000 shares of Company’s Common Stock at an exercise price of $4.13 per share, which Warrant is exercisable upon issuance. The fair value of the 200,000 warrants vested at closing on September 30, 2024, was $307,780 at the date of issuance based on the following assumptions: an expected life of 4.83 years, volatility of 78%, risk free interest rate of 3.58%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October 1, 2024 through January 31, 2026, which was adjusted to September 30, 2026 in connection with the extension of maturity in July 2025, and further adjusted to June 30, 2027 in connection with the extension of maturity in December 2025. Amortization for the year ended December 31, 2025 and 2024 of $170,000 and $58,000, respectively was recorded as interest expense.</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November 14, 2024, the Company and Richard E. Uihlein (the “Lender”) entered into an additional Supplemental Line of Credit Letter Agreement (the “November 2024 Supplemental Credit Agreement”), pursuant to which the Lender shall provide the Company a line of credit of up to $6.0 million (the “November 2024 Supplemental Line of Credit”) to finance the Company’s working capital needs. The Company may draw upon the November 2024 Supplemental Line of Credit through March 31, 2025.</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November 2024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adjusted to September 30, 2026 in connection with the extension of maturity in July 2025, and further adjusted to June 30, 2027 in connection with the extension of maturity in December 2025. Only with the consent of the Lender, may the Promissory Notes be prepaid, in whole or in part, at any time without premium or penalty, but with interest on the amount or amounts prepaid.</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November 2024 Supplemental Credit Agreement, the Company agreed to issue the Lender warrants to purchase up to an aggregate of 120,000 shares of the Company’s common stock, par value $0.001 per share (collectively, the “Warrants”). The Company shall issue to the Lender Warrants ratably, upon borrowings under the November 2024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30, 2025, the Company executed a $6 million Promissory Note under the November 2024 Supplemental Line of Credit. The interest rate on this draw is 6.13% (Applicable Federal Rate for short term loans on date of draw of 4.13% plus 2%). The effective interest rate is approximately 6.4%. Accrued interest on this draw was $248,000 at December 31, 2025. The principal and accrued interest is convertible at the option of the Lender at $3.00 per share. In accordance with the Credit Agreement, the Company issued the Lender a Warrant to purchase up to 120,000 shares of Company’s Common Stock at an exercise price of $3.00 per share, which Warrant is exercisable upon issuance.</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the 120,000 warrants vested at closing on April 30, 2025, was $80,040 at the date of issuance based on the following assumptions: an expected life of 4.25 years, volatility of 84%, risk free interest rate of 3.65%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April 30, 2025 through March 31, 2026, which was adjusted to September 30, 2026 in connection with the extension of maturity in July 2025, and further adjusted to June 30, 2027 in connection with the extension of maturity in December 2025. Amortization for the year ended December 31, 2025 of $43,000 was recorded as interest expense.</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March 31, 2025, the Company and Richard E. Uihlein (the “Lender”) entered into a Supplemental Line of Credit Letter Agreement (the “March 2025 Supplemental Credit Agreement”), pursuant to which the Lender shall provide the Company a line of credit of up to $5.0 million (the “March 2025 Supplemental Line of Credit”) to finance the Company’s working capital needs. The Company may draw upon the March 2025 Supplemental Line of Credit through September 30, 2025.</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Each advance made pursuant to the March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March 31, 2026, which was adjusted to September 30, 2026 in connection with the extension of maturity in July 2025, and further adjusted to June 30, 2027 in connection with the extension of maturity in December 2025. Only with the consent of the Lender, may the Promissory Notes be prepaid, in whole or in part, at any time without premium or penalty, but with interest on the amount or amounts prepaid.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connection with the March 2025 Supplemental Credit Agreement, the Company agreed to issue the Lender warrants to purchase up to an aggregate of 100,000 shares of the Company’s common stock, par value $0.001 per share (collectively, the “Warrants”). The Company shall issue to the Lender Warrants ratably, upon borrowings under the March 2025 Supplemental Line of Credit, with exercise prices equal to 150% of the closing price of the Company’s common Stock on the date of the Promissory Note evidencing such draw, but in no event more than $10.00 per share nor less than $3.00 per share. The Warrants expire on July 31, 2029.</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June 30, 2025, the Company executed a $5 million Promissory Note under the March 2025 Supplemental Line of Credit. The interest rate on this draw is 5.93% (Applicable Federal Rate for short term loans on date of draw of 3.93% plus 2%). The effective interest rate is approximately 6.4%. Accrued interest on this draw was $150,000 at December 31, 2025. The principal and accrued interest is convertible at the option of the Lender at $3.00 per share.</w:t>
      </w:r>
    </w:p>
    <w:p>
      <w:pPr>
        <w:spacing w:after="0" w:line="17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accordance with the Credit Agreement, the Company issued the Lender a Warrant to purchase up to 100,000 shares of Company’s Common Stock at an exercise price of $3.00 per share, which Warrant is exercisable upon issuance. The fair value of the 100,000 warrants vested at closing on June 30, 2025, was $132,000 at the date of issuance based on the following assumptions: an expected life of 4.08 years, volatility of 86%, risk free interest rate of 3.75%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June 30, 2025 through September 30, 2026. Amortization for the year ended ended December 31, 2025 of $52,000 was recorded as interest expense.</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July 8, 2025, the Company and Richard E. Uihlein (the “Lender”) entered into a Supplemental Line of Credit Letter Agreement (the “July 2025 Supplemental Credit Agreement”), pursuant to which the Lender shall provide the Company a line of credit of up to $10.0 million (the “July 2025 Supplemental Line of Credit”) to finance the Company’s working capital needs. The Company may draw upon the July 2025 Supplemental Line of Credit through April 30, 2026. Additionally, in connection with the July 2025 Supplemental Credit Agreement, the maturity dates of the Convertible Notes Payable – Related Party and all borrowings under the Convertible Lines of Credit –Related Party were extended to September 30, 2026, and further adjusted to June 30, 2027 in connection with the extension of maturity in December 2025.</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July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September 30, 2026.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$3.00 per share.</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the July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December 31, 2025, the Company executed a $10 million Promissory Note under the July 2025 Supplemental Line of Credit. The interest rate on this draw is 5.6% (Applicable Federal Rate for short term loans on date of draw of 3.6% plus 2%). The effective interest rate is approximately 5.9%. The principal and accrued interest is convertible at the option of the Lender at $4.05 per share.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accordance with the Credit Agreement, the Company issued the Lender a Warrant to purchase up to 200,000 shares of Company’s Common Stock at an exercise price of $4.05 per share, which Warrant is exercisable upon issuance. The fair value of the 200,000 warrants vested at closing on December 31, 2025, was $454,000 at the date of issuance based on the following assumptions: an expected life of 3.58 years, volatility of 92%, risk free interest rate of 3.55% and zero dividends. The proceeds were allocated between the Promissory Note and the warrants issued, and the amount allocated to the warrants was recorded as a debt discount netted against principal amortized on a straight-line basis, which is not materially different than the effective interest method, from December 31, 2025 through June 30, 2027.</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19, 2025, the Company and Richard E. Uihlein (the “Lender”) entered into a Supplemental Line of Credit Letter Agreement (the “December 2025 Supplemental Credit Agreement”), pursuant to which the Lender shall provide the Company a line of credit of up to $10.0 million (the “December 2025 Supplemental Line of Credit”) to finance the Company’s working capital needs. The Company may draw upon the December 2025 Supplemental Line of Credit through January 31, 2027.</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advance made pursuant to the December 2025 Supplemental Credit Agreement shall be evidenced by an unsecured, convertible promissory note (individually, a “Promissory Note,” and collectively, the “Promissory Notes”), and bear interest at the Applicable Federal Rate for short term loans, plus two (2%) percent. Principal and interest on the Promissory Notes are due on or before June 30, 2027. Only with the consent of the Lender, may the Promissory Notes be prepaid, in whole or in part, at any time without premium or penalty, but with interest on the amount or amounts prepaid. At the election of Lender, the principal and accrued interest on Promissory Note(s) may be converted into the number of shares of the Company’s Common Stock equal to the amount of principal and accrued interest on such Promissory Note divided by the price equal to the closing price of the Common Stock on the date of such Promissory Note, but in no event less than $4.38 per share.</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connection with the December 2025 Supplemental Credit Agreement, the Company agreed to issue the Lender warrants to purchase up to an aggregate of 200,000 shares of the Company’s common stock, par value $0.001 per share (collectively, the “Warrants”). The Company shall issue to the Lender Warrants ratably, upon borrowings under the July 2025 Supplemental Line of Credit, with exercise prices equal to 150% of the closing price of the Company’s common Stock on the date of the Promissory Note.</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warrants that vest in the future based on borrowings will be computed when those borrowings occur and amortized over the remaining period through June 30, 2027.</w:t>
      </w:r>
    </w:p>
    <w:p>
      <w:pPr>
        <w:spacing w:after="0" w:line="158"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Basic net loss per common share is computed by dividing the net loss available to common stockholders by the weighted average number of common shares outstanding during the period. For the years ended December 31, 2025 and 2024, as the Company was in a net loss position, the diluted loss per share computations for such periods did not assume the exercise of warrants and stock options or the conversion of Convertible Notes, or the conversion of convertible preferred stock as they would have had an anti-dilutive effect on loss per share.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computations of diluted weighted average shares outstanding as of December 31, 2025 and 2024 as the inclusion thereof would have been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5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194"/>
        </w:trPr>
        <w:tc>
          <w:tcPr>
            <w:tcW w:w="8680" w:type="dxa"/>
            <w:vAlign w:val="bottom"/>
          </w:tcPr>
          <w:p>
            <w:pPr>
              <w:spacing w:after="0"/>
              <w:rPr>
                <w:sz w:val="16"/>
                <w:szCs w:val="16"/>
                <w:color w:val="auto"/>
              </w:rPr>
            </w:pPr>
          </w:p>
        </w:tc>
        <w:tc>
          <w:tcPr>
            <w:tcW w:w="112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310"/>
              <w:spacing w:after="0" w:line="194"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shares of common stock</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4,172,144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9,595,940</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6,572,509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6,854,758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notes payable –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7,631,297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7,024,053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of convertible line of credit –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33,103,415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25,103,873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vesting in January 2026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issuable upon conversion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495,007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499,174</w:t>
            </w:r>
          </w:p>
        </w:tc>
        <w:tc>
          <w:tcPr>
            <w:tcW w:w="0" w:type="dxa"/>
            <w:vAlign w:val="bottom"/>
          </w:tcPr>
          <w:p>
            <w:pPr>
              <w:spacing w:after="0"/>
              <w:rPr>
                <w:sz w:val="1"/>
                <w:szCs w:val="1"/>
                <w:color w:val="auto"/>
              </w:rPr>
            </w:pPr>
          </w:p>
        </w:tc>
      </w:tr>
      <w:tr>
        <w:trPr>
          <w:trHeight w:val="241"/>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52,308,372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49,077,798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5480"/>
              <w:spacing w:after="0"/>
              <w:rPr>
                <w:sz w:val="20"/>
                <w:szCs w:val="20"/>
                <w:color w:val="auto"/>
              </w:rPr>
            </w:pPr>
            <w:r>
              <w:rPr>
                <w:rFonts w:ascii="Times New Roman" w:cs="Times New Roman" w:eastAsia="Times New Roman" w:hAnsi="Times New Roman"/>
                <w:sz w:val="14"/>
                <w:szCs w:val="14"/>
                <w:color w:val="auto"/>
              </w:rPr>
              <w:t>F-32</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86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500" w:hanging="492"/>
        <w:spacing w:after="0"/>
        <w:tabs>
          <w:tab w:leader="none" w:pos="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has one operating lease for its office space which was amended effective March 1, 2022 for a term of 38 months with no residual value guarantees or material restrictive covenants. The amended lease provided for free rent for the first six and one-half months of the lease and continues the security deposit of $6,000. In addition to base rental payments included in the contractual obligations table below, the Company is responsible for our pro-rata share of the operating expenses for the building. In March 2025, the Company renewed its existing office space lease effective for twelve months at substantially the same terms. Our lease cost for the years ended December 31, 2025 and 2024 was $58,000 and $44,000, respectively, and is included in general and administrative expenses. As of December 31, 2025, the right to use lease asset consisted of $22,000 and is included in other assets. Also, at December 31, 2025, current lease liability of $22,000 is included in accrued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Maturity of operating lease as of December 31, 2025 in thousands: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r>
      <w:tr>
        <w:trPr>
          <w:trHeight w:val="223"/>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discount rate used in calculating the present value of the lease payments was 11%.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records accruals for such contingencies to the extent that the Company concludes that their occurrence is probable and the related damages are estimable. There are no pending legal proceedings.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 and Research Contingencies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contractors for research and development activities to further its product candidates. The contracts generally may be canceled at any time by providing thirty days’ notice. The Company is involved in a dispute with a contract vendor for clinical trial management services provided outside of the United States. The contract in question is a variable contract. The Company has accrued its estimate of the amount owed to the contract vendor at December 31, 2025.</w:t>
      </w:r>
    </w:p>
    <w:p>
      <w:pPr>
        <w:spacing w:after="0" w:line="176" w:lineRule="exact"/>
        <w:rPr>
          <w:sz w:val="20"/>
          <w:szCs w:val="20"/>
          <w:color w:val="auto"/>
        </w:rPr>
      </w:pPr>
    </w:p>
    <w:p>
      <w:pPr>
        <w:ind w:left="500" w:hanging="492"/>
        <w:spacing w:after="0"/>
        <w:tabs>
          <w:tab w:leader="none" w:pos="5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Galectin Sciences LLC</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$3,326,000 in total from 2015 through 2023. The Company contributed $57,000 and $350,000 for the LLC expenses (recorded in research and development expenses) in 2025 and 2024, respectively, and SBH has contributed a total of $711,000 since 2014. As of December 31, 2025, the Company’s ownership percentage in the LLC was 85.5%.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Income Taxes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the net deferred tax assets are as follows at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carryforwards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63,057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9,010</w:t>
            </w: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18,276</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95,666</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90,343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(90,343)</w:t>
            </w: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deferred tax asset</w:t>
            </w:r>
          </w:p>
        </w:tc>
        <w:tc>
          <w:tcPr>
            <w:tcW w:w="16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primary factors affecting the Company’s income tax rates were as follows:</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as U.S. statutory rates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(6,224)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18"/>
                <w:szCs w:val="18"/>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effective income tax rate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77"/>
              </w:rPr>
              <w:t>—</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December 31, 2025, the Company has federal and state net operating loss carryforwards totaling $163,412,000 and $169,710,000, respectively, which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never expire as a result of the 2017 Tax Act. As of December 31, 2023, the Company has federal and state net operating loss carryforwards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$113,541,000 and $102,003,000 respectively, which expire through 2037. In addition, the Company has federal and state research and development credits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$7,781,000 and $1,235,000, respectively, which expire through 2042. Ownership changes, as defined by Section 382 of the Internal Revenue Code,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limited the amount of net operating loss carryforwards that can be utilized annually to offset future taxable income. Past and subsequent ownership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could further affect the limitation in future years. Because of the Company’s limited operating history and its recorded losses, management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in each of the last two years, a 100% valuation allowance against the Company’s net deferred tax assets.</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enactment of the One Big Beautiful Bill Act (“OBBBA”), including the continued capitalization and amortization requirements for Section 174 research and experimental expenditures, did not result in any state income tax liabilities or payments for the year; however, it impacted the composition of our federal net operating loss carryforwards as a portion of amounts previously deductible are now reflected as capitalized Section 174 costs.</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The Company recognizes interest and penalties related to unrecognized tax benefits as a component of income tax expense. As of December 31, 2025 and 2024, the Company does not have any significant uncertain tax positions.</w:t>
      </w:r>
    </w:p>
    <w:p>
      <w:pPr>
        <w:spacing w:after="0" w:line="176" w:lineRule="exact"/>
        <w:rPr>
          <w:sz w:val="20"/>
          <w:szCs w:val="20"/>
          <w:color w:val="auto"/>
        </w:rPr>
      </w:pPr>
    </w:p>
    <w:p>
      <w:pPr>
        <w:ind w:left="500" w:hanging="492"/>
        <w:spacing w:after="0"/>
        <w:tabs>
          <w:tab w:leader="none" w:pos="5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Segments</w:t>
      </w:r>
    </w:p>
    <w:p>
      <w:pPr>
        <w:spacing w:after="0" w:line="21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CODM, or decision-making group, in making decisions on how to allocate resources and assess performance. The Company’s CODM, the Chief Executive Officer, views the Company’s operations as one operating segment, which is focused on creating new therapies for fibrotic disease based on targeting galectin proteins. The Company does not have revenue in the current comparative period, incurs expenses primarily in North America and manages the business activities on a consolidated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fibrotic disease therapeutics segment are the same as those described in the summary of significant accounting policies.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assesses performance for the fibrotic disease therapeutics segment and decides how to allocate resources based on net loss that also is reported on the income statement as consolidated net loss. The measure of segment assets is reported on the balance sheet as cash and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generated any product revenue in the current period and expects to continue to incur significant expenses and operating losses for the foreseeable future as the Company advances its product candidates through all stages of development and clinical trials.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such, the CODM uses cash forecast models in deciding how to invest into the fibrotic disease therapeutics segment.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significant expense categories regularly reviewed by the CODM for the years ended December 31, 2025 and 2024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5"/>
                <w:szCs w:val="15"/>
                <w:color w:val="auto"/>
              </w:rPr>
            </w:pPr>
          </w:p>
        </w:tc>
        <w:tc>
          <w:tcPr>
            <w:tcW w:w="940" w:type="dxa"/>
            <w:vAlign w:val="bottom"/>
            <w:gridSpan w:val="2"/>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(in</w:t>
            </w:r>
          </w:p>
        </w:tc>
        <w:tc>
          <w:tcPr>
            <w:tcW w:w="1340" w:type="dxa"/>
            <w:vAlign w:val="bottom"/>
            <w:gridSpan w:val="4"/>
          </w:tcPr>
          <w:p>
            <w:pPr>
              <w:jc w:val="right"/>
              <w:ind w:right="590"/>
              <w:spacing w:after="0" w:line="176" w:lineRule="exact"/>
              <w:rPr>
                <w:sz w:val="20"/>
                <w:szCs w:val="20"/>
                <w:color w:val="auto"/>
              </w:rPr>
            </w:pPr>
            <w:r>
              <w:rPr>
                <w:rFonts w:ascii="Times New Roman" w:cs="Times New Roman" w:eastAsia="Times New Roman" w:hAnsi="Times New Roman"/>
                <w:sz w:val="18"/>
                <w:szCs w:val="18"/>
                <w:b w:val="1"/>
                <w:bCs w:val="1"/>
                <w:color w:val="auto"/>
                <w:w w:val="76"/>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36,571</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5,795</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5,862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20,085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42,433</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loss</w:t>
            </w:r>
          </w:p>
        </w:tc>
        <w:tc>
          <w:tcPr>
            <w:tcW w:w="160" w:type="dxa"/>
            <w:vAlign w:val="bottom"/>
          </w:tcPr>
          <w:p>
            <w:pPr>
              <w:spacing w:after="0"/>
              <w:rPr>
                <w:sz w:val="19"/>
                <w:szCs w:val="19"/>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(20,085)</w:t>
            </w:r>
          </w:p>
        </w:tc>
        <w:tc>
          <w:tcPr>
            <w:tcW w:w="240" w:type="dxa"/>
            <w:vAlign w:val="bottom"/>
          </w:tcPr>
          <w:p>
            <w:pPr>
              <w:spacing w:after="0"/>
              <w:rPr>
                <w:sz w:val="19"/>
                <w:szCs w:val="19"/>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(42,433)</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(7,329)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derivatives</w:t>
            </w:r>
          </w:p>
        </w:tc>
        <w:tc>
          <w:tcPr>
            <w:tcW w:w="160" w:type="dxa"/>
            <w:vAlign w:val="bottom"/>
          </w:tcPr>
          <w:p>
            <w:pPr>
              <w:spacing w:after="0"/>
              <w:rPr>
                <w:sz w:val="18"/>
                <w:szCs w:val="18"/>
                <w:color w:val="auto"/>
              </w:rPr>
            </w:pP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(3,548)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(10,751)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(4,614)</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(30,836)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(47,047)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3"/>
        </w:trPr>
        <w:tc>
          <w:tcPr>
            <w:tcW w:w="8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1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(30,974)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(47,200)</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items included in segment loss includes interest income and interest expense.</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 single operating segment and therefore the measure of segment net loss is the same as consolidated net loss and does not require reconciliation.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net cash used in operating activities was $23.9 million and $41.8 million, respectively. The table below summarizes the significant asset categories regularly reviewed by the CODM for the years ended December 31, 2025 and 2024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17,720</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15,120</w:t>
            </w:r>
          </w:p>
        </w:tc>
      </w:tr>
    </w:tbl>
    <w:p>
      <w:pPr>
        <w:sectPr>
          <w:pgSz w:w="11900" w:h="16838" w:orient="portrait"/>
          <w:cols w:equalWidth="0" w:num="1">
            <w:col w:w="11240"/>
          </w:cols>
          <w:pgMar w:left="320" w:top="115" w:right="339" w:bottom="82"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91440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the Corporation’s subsidiaries as of December 31, 2025. The Corporation owns, directly or indirectly, 100% of the voting securities of each subsidiary, unless noted otherwise.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 OR JURISDICTION</w:t>
            </w:r>
          </w:p>
        </w:tc>
      </w:tr>
      <w:tr>
        <w:trPr>
          <w:trHeight w:val="23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 ORGANIZATION</w:t>
            </w:r>
          </w:p>
        </w:tc>
      </w:tr>
      <w:tr>
        <w:trPr>
          <w:trHeight w:val="191"/>
        </w:trPr>
        <w:tc>
          <w:tcPr>
            <w:tcW w:w="5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Galectin Therapeutics Security Corp.</w:t>
            </w:r>
          </w:p>
        </w:tc>
        <w:tc>
          <w:tcPr>
            <w:tcW w:w="22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Galectin Sciences LLC</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574"/>
        </w:trPr>
        <w:tc>
          <w:tcPr>
            <w:tcW w:w="5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(Nos.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198070, 333-225890, 333-249955 and 333-270981), and Registration Statement on Form S-3 (Nos. 333-194747, 333-208674, 333-213138, 333-218112, 333-226402, 333-230085, 333-233193 and 333-271278) of our report dated March 31, 2025 included in this Annual Report on Form 10-K of Galectin Therapeutics, Inc. and Subsidiaries (the “Company”) relating to the consolidated balance sheets of the Company as of December 31, 2025 and 2024, and the related consolidated statements of operations, changes in redeemable convertible preferred stock and stockholders’ equity (deficit), and cash flows, and the related notes for each of the two years in the period ended December 31, 2025.</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Cherry Bekaert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Lewis, certify that:</w:t>
      </w:r>
    </w:p>
    <w:p>
      <w:pPr>
        <w:spacing w:after="0" w:line="225" w:lineRule="exact"/>
        <w:rPr>
          <w:sz w:val="20"/>
          <w:szCs w:val="20"/>
          <w:color w:val="auto"/>
        </w:rPr>
      </w:pPr>
    </w:p>
    <w:p>
      <w:pPr>
        <w:ind w:left="500" w:hanging="492"/>
        <w:spacing w:after="0"/>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Joel Lewis</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r>
      <w:tr>
        <w:trPr>
          <w:trHeight w:val="234"/>
        </w:trPr>
        <w:tc>
          <w:tcPr>
            <w:tcW w:w="564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74"/>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of the Securities Act of 1934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Jack W. Callicutt, certify that:</w:t>
      </w:r>
    </w:p>
    <w:p>
      <w:pPr>
        <w:spacing w:after="0" w:line="225" w:lineRule="exact"/>
        <w:rPr>
          <w:sz w:val="20"/>
          <w:szCs w:val="20"/>
          <w:color w:val="auto"/>
        </w:rPr>
      </w:pPr>
    </w:p>
    <w:p>
      <w:pPr>
        <w:ind w:left="500" w:hanging="492"/>
        <w:spacing w:after="0"/>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Galectin Therapeutics Inc.;</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7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60" w:hanging="488"/>
        <w:spacing w:after="0" w:line="266" w:lineRule="auto"/>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60" w:hanging="488"/>
        <w:spacing w:after="0" w:line="282" w:lineRule="auto"/>
        <w:tabs>
          <w:tab w:leader="none" w:pos="8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Jack W. Callicutt</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564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74"/>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Galectin Therapeutics Inc. (the “Company”) on Form 10-K for the period ended December 31, 2025 as filed with the Securities and Exchange Commission on the date hereof (the “Report”), I, Joel Lewis, Chief Executive Officer and President of the Company, certify, pursuant to 18 U.S.C. §1350, as adopted pursuant to §906 of the Sarbanes-Oxley Act of 2002, that, to my knowledge:</w:t>
      </w:r>
    </w:p>
    <w:p>
      <w:pPr>
        <w:spacing w:after="0" w:line="176"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Lewis</w:t>
            </w:r>
          </w:p>
        </w:tc>
      </w:tr>
      <w:tr>
        <w:trPr>
          <w:trHeight w:val="191"/>
        </w:trPr>
        <w:tc>
          <w:tcPr>
            <w:tcW w:w="5640" w:type="dxa"/>
            <w:vAlign w:val="bottom"/>
          </w:tcPr>
          <w:p>
            <w:pPr>
              <w:spacing w:after="0"/>
              <w:rPr>
                <w:sz w:val="16"/>
                <w:szCs w:val="16"/>
                <w:color w:val="auto"/>
              </w:rPr>
            </w:pPr>
          </w:p>
        </w:tc>
        <w:tc>
          <w:tcPr>
            <w:tcW w:w="5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Joel Lewis</w:t>
            </w:r>
          </w:p>
        </w:tc>
      </w:tr>
      <w:tr>
        <w:trPr>
          <w:trHeight w:val="216"/>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r>
      <w:tr>
        <w:trPr>
          <w:trHeight w:val="234"/>
        </w:trPr>
        <w:tc>
          <w:tcPr>
            <w:tcW w:w="5640" w:type="dxa"/>
            <w:vAlign w:val="bottom"/>
          </w:tcPr>
          <w:p>
            <w:pPr>
              <w:spacing w:after="0"/>
              <w:rPr>
                <w:sz w:val="20"/>
                <w:szCs w:val="20"/>
                <w:color w:val="auto"/>
              </w:rPr>
            </w:pPr>
          </w:p>
        </w:tc>
        <w:tc>
          <w:tcPr>
            <w:tcW w:w="56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74"/>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Galectin Therapeutics Inc. (the “Company”) on Form 10-K for the period ended December 31, 2025 as filed with the Securities and Exchange Commission on the date hereof (the “Report”), I, Jack W. Callicutt, Chief Financial Officer, certify, pursuant to 18 U.S.C. §1350, as adopted pursuant to §906 of the Sarbanes-Oxley Act of 2002, that, to my knowledge:</w:t>
      </w:r>
    </w:p>
    <w:p>
      <w:pPr>
        <w:spacing w:after="0" w:line="176"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W. Callicutt</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Jack W. Callicutt</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President</w:t>
            </w:r>
          </w:p>
        </w:tc>
      </w:tr>
      <w:tr>
        <w:trPr>
          <w:trHeight w:val="234"/>
        </w:trPr>
        <w:tc>
          <w:tcPr>
            <w:tcW w:w="5620" w:type="dxa"/>
            <w:vAlign w:val="bottom"/>
          </w:tcPr>
          <w:p>
            <w:pPr>
              <w:spacing w:after="0"/>
              <w:rPr>
                <w:sz w:val="20"/>
                <w:szCs w:val="20"/>
                <w:color w:val="auto"/>
              </w:rPr>
            </w:pPr>
          </w:p>
        </w:tc>
        <w:tc>
          <w:tcPr>
            <w:tcW w:w="5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74"/>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1)"/>
      <w:numFmt w:val="lowerLetter"/>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3"/>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9"/>
    </w:lvl>
  </w:abstractNum>
  <w:abstractNum w:abstractNumId="25">
    <w:nsid w:val="77465F01"/>
    <w:multiLevelType w:val="hybridMultilevel"/>
    <w:lvl w:ilvl="0">
      <w:lvlJc w:val="left"/>
      <w:lvlText w:val="%1"/>
      <w:numFmt w:val="decimal"/>
      <w:start w:val="97"/>
    </w:lvl>
  </w:abstractNum>
  <w:abstractNum w:abstractNumId="26">
    <w:nsid w:val="7724C67E"/>
    <w:multiLevelType w:val="hybridMultilevel"/>
    <w:lvl w:ilvl="0">
      <w:lvlJc w:val="left"/>
      <w:lvlText w:val="%1"/>
      <w:numFmt w:val="decimal"/>
      <w:start w:val="104"/>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4"/>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2"/>
    </w:lvl>
  </w:abstractNum>
  <w:abstractNum w:abstractNumId="34">
    <w:nsid w:val="3855585C"/>
    <w:multiLevelType w:val="hybridMultilevel"/>
    <w:lvl w:ilvl="0">
      <w:lvlJc w:val="left"/>
      <w:lvlText w:val="%1."/>
      <w:numFmt w:val="decimal"/>
      <w:start w:val="3"/>
    </w:lvl>
  </w:abstractNum>
  <w:abstractNum w:abstractNumId="35">
    <w:nsid w:val="70A64E2A"/>
    <w:multiLevelType w:val="hybridMultilevel"/>
    <w:lvl w:ilvl="0">
      <w:lvlJc w:val="left"/>
      <w:lvlText w:val="%1."/>
      <w:numFmt w:val="decimal"/>
      <w:start w:val="5"/>
    </w:lvl>
  </w:abstractNum>
  <w:abstractNum w:abstractNumId="36">
    <w:nsid w:val="6A2342EC"/>
    <w:multiLevelType w:val="hybridMultilevel"/>
    <w:lvl w:ilvl="0">
      <w:lvlJc w:val="left"/>
      <w:lvlText w:val="%1."/>
      <w:numFmt w:val="decimal"/>
      <w:start w:val="6"/>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decimal"/>
      <w:start w:val="9"/>
    </w:lvl>
  </w:abstractNum>
  <w:abstractNum w:abstractNumId="39">
    <w:nsid w:val="725A06FB"/>
    <w:multiLevelType w:val="hybridMultilevel"/>
    <w:lvl w:ilvl="0">
      <w:lvlJc w:val="left"/>
      <w:lvlText w:val="%1."/>
      <w:numFmt w:val="decimal"/>
      <w:start w:val="10"/>
    </w:lvl>
  </w:abstractNum>
  <w:abstractNum w:abstractNumId="40">
    <w:nsid w:val="2CD89A32"/>
    <w:multiLevelType w:val="hybridMultilevel"/>
    <w:lvl w:ilvl="0">
      <w:lvlJc w:val="left"/>
      <w:lvlText w:val="%1."/>
      <w:numFmt w:val="decimal"/>
      <w:start w:val="11"/>
    </w:lvl>
  </w:abstractNum>
  <w:abstractNum w:abstractNumId="41">
    <w:nsid w:val="57E4CCAF"/>
    <w:multiLevelType w:val="hybridMultilevel"/>
    <w:lvl w:ilvl="0">
      <w:lvlJc w:val="left"/>
      <w:lvlText w:val="%1."/>
      <w:numFmt w:val="decimal"/>
      <w:start w:val="12"/>
    </w:lvl>
  </w:abstractNum>
  <w:abstractNum w:abstractNumId="42">
    <w:nsid w:val="7A6D8D3C"/>
    <w:multiLevelType w:val="hybridMultilevel"/>
    <w:lvl w:ilvl="0">
      <w:lvlJc w:val="left"/>
      <w:lvlText w:val="%1."/>
      <w:numFmt w:val="decimal"/>
      <w:start w:val="13"/>
    </w:lvl>
  </w:abstractNum>
  <w:abstractNum w:abstractNumId="43">
    <w:nsid w:val="4B588F54"/>
    <w:multiLevelType w:val="hybridMultilevel"/>
    <w:lvl w:ilvl="0">
      <w:lvlJc w:val="left"/>
      <w:lvlText w:val="%1."/>
      <w:numFmt w:val="decimal"/>
      <w:start w:val="15"/>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55" Type="http://schemas.openxmlformats.org/officeDocument/2006/relationships/image" Target="media/image104.png"/><Relationship Id="rId157" Type="http://schemas.openxmlformats.org/officeDocument/2006/relationships/image" Target="media/image105.png"/><Relationship Id="rId158" Type="http://schemas.openxmlformats.org/officeDocument/2006/relationships/image" Target="media/image106.png"/><Relationship Id="rId159" Type="http://schemas.openxmlformats.org/officeDocument/2006/relationships/image" Target="media/image107.png"/><Relationship Id="rId160" Type="http://schemas.openxmlformats.org/officeDocument/2006/relationships/image" Target="media/image108.png"/><Relationship Id="rId161" Type="http://schemas.openxmlformats.org/officeDocument/2006/relationships/image" Target="media/image109.png"/><Relationship Id="rId162" Type="http://schemas.openxmlformats.org/officeDocument/2006/relationships/image" Target="media/image110.png"/><Relationship Id="rId163" Type="http://schemas.openxmlformats.org/officeDocument/2006/relationships/image" Target="media/image111.png"/><Relationship Id="rId164" Type="http://schemas.openxmlformats.org/officeDocument/2006/relationships/image" Target="media/image112.png"/><Relationship Id="rId165" Type="http://schemas.openxmlformats.org/officeDocument/2006/relationships/image" Target="media/image113.png"/><Relationship Id="rId166"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201" Type="http://schemas.openxmlformats.org/officeDocument/2006/relationships/image" Target="media/image149.pn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png"/><Relationship Id="rId212"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111" Type="http://schemas.openxmlformats.org/officeDocument/2006/relationships/hyperlink" Target="https://www.sec.gov/Archives/edgar/data/1133416/000119312512252748/d359382dex32.htm" TargetMode="External"/><Relationship Id="rId112" Type="http://schemas.openxmlformats.org/officeDocument/2006/relationships/hyperlink" Target="https://www.sec.gov/Archives/edgar/data/1133416/000119312516721558/d269553dex53.htm" TargetMode="External"/><Relationship Id="rId113" Type="http://schemas.openxmlformats.org/officeDocument/2006/relationships/hyperlink" Target="https://www.sec.gov/Archives/edgar/data/1133416/000119312507214815/dex32.htm" TargetMode="External"/><Relationship Id="rId114" Type="http://schemas.openxmlformats.org/officeDocument/2006/relationships/hyperlink" Target="https://www.sec.gov/Archives/edgar/data/1133416/000119312517176606/d590602dex31.htm" TargetMode="External"/><Relationship Id="rId115" Type="http://schemas.openxmlformats.org/officeDocument/2006/relationships/hyperlink" Target="https://www.sec.gov/Archives/edgar/data/1133416/000119312511002455/dex31.htm" TargetMode="External"/><Relationship Id="rId116" Type="http://schemas.openxmlformats.org/officeDocument/2006/relationships/hyperlink" Target="https://www.sec.gov/Archives/edgar/data/1133416/000119312512129902/d322145dex31.htm" TargetMode="External"/><Relationship Id="rId117" Type="http://schemas.openxmlformats.org/officeDocument/2006/relationships/hyperlink" Target="https://www.sec.gov/Archives/edgar/data/1133416/000114036123014658/brhc10049486_ex3-7.htm" TargetMode="External"/><Relationship Id="rId118" Type="http://schemas.openxmlformats.org/officeDocument/2006/relationships/hyperlink" Target="https://www.sec.gov/Archives/edgar/data/1133416/000119312516806268/d314862dex41.htm" TargetMode="External"/><Relationship Id="rId119" Type="http://schemas.openxmlformats.org/officeDocument/2006/relationships/hyperlink" Target="https://www.sec.gov/Archives/edgar/data/1133416/000119312517373610/d466346dex41.htm" TargetMode="External"/><Relationship Id="rId120" Type="http://schemas.openxmlformats.org/officeDocument/2006/relationships/hyperlink" Target="https://www.sec.gov/Archives/edgar/data/1133416/000119312519001150/d685114dex41.htm" TargetMode="External"/><Relationship Id="rId121" Type="http://schemas.openxmlformats.org/officeDocument/2006/relationships/hyperlink" Target="https://www.sec.gov/Archives/edgar/data/1133416/000119312519009410/d684051dex41.htm" TargetMode="External"/><Relationship Id="rId122" Type="http://schemas.openxmlformats.org/officeDocument/2006/relationships/hyperlink" Target="https://www.sec.gov/Archives/edgar/data/1133416/000119312519009410/d684051dex42.htm" TargetMode="External"/><Relationship Id="rId123" Type="http://schemas.openxmlformats.org/officeDocument/2006/relationships/hyperlink" Target="https://www.sec.gov/Archives/edgar/data/1133416/000119312519009410/d684051dex43.htm" TargetMode="External"/><Relationship Id="rId124" Type="http://schemas.openxmlformats.org/officeDocument/2006/relationships/hyperlink" Target="https://www.sec.gov/Archives/edgar/data/1133416/000119312519064707/d626180dex417.htm" TargetMode="External"/><Relationship Id="rId125" Type="http://schemas.openxmlformats.org/officeDocument/2006/relationships/hyperlink" Target="https://www.sec.gov/Archives/edgar/data/1133416/000119312519064707/d626180dex418.htm" TargetMode="External"/><Relationship Id="rId126" Type="http://schemas.openxmlformats.org/officeDocument/2006/relationships/hyperlink" Target="https://www.sec.gov/Archives/edgar/data/1133416/000114036122026910/brhc10039901_ex4-1.htm" TargetMode="External"/><Relationship Id="rId127" Type="http://schemas.openxmlformats.org/officeDocument/2006/relationships/hyperlink" Target="https://www.sec.gov/Archives/edgar/data/1133416/000119312521101402/d30125dex420.htm" TargetMode="External"/><Relationship Id="rId128" Type="http://schemas.openxmlformats.org/officeDocument/2006/relationships/hyperlink" Target="https://www.sec.gov/Archives/edgar/data/1133416/000114036124016452/ef20015363_ex4-11.htm" TargetMode="External"/><Relationship Id="rId129" Type="http://schemas.openxmlformats.org/officeDocument/2006/relationships/hyperlink" Target="https://www.sec.gov/Archives/edgar/data/1133416/000114036124016452/ef20015363_ex4-12.htm" TargetMode="External"/><Relationship Id="rId130" Type="http://schemas.openxmlformats.org/officeDocument/2006/relationships/hyperlink" Target="https://www.sec.gov/Archives/edgar/data/1133416/000119312519268920/d814474ddef14a.htm#toc814474_22" TargetMode="External"/><Relationship Id="rId131" Type="http://schemas.openxmlformats.org/officeDocument/2006/relationships/hyperlink" Target="https://www.sec.gov/Archives/edgar/data/1133416/000114036124016452/ef20015363_ex10-2.htm" TargetMode="External"/><Relationship Id="rId132" Type="http://schemas.openxmlformats.org/officeDocument/2006/relationships/hyperlink" Target="https://www.sec.gov/Archives/edgar/data/1133416/000114036124016452/ef20015363_ex10-3.htm" TargetMode="External"/><Relationship Id="rId133" Type="http://schemas.openxmlformats.org/officeDocument/2006/relationships/hyperlink" Target="https://www.sec.gov/Archives/edgar/data/1133416/000119312513334603/d551206dex103.htm" TargetMode="External"/><Relationship Id="rId134" Type="http://schemas.openxmlformats.org/officeDocument/2006/relationships/hyperlink" Target="https://www.sec.gov/Archives/edgar/data/1133416/000119312517256668/d595775dex101.htm" TargetMode="External"/><Relationship Id="rId135" Type="http://schemas.openxmlformats.org/officeDocument/2006/relationships/hyperlink" Target="https://www.sec.gov/Archives/edgar/data/1133416/000114036124035212/ef20033332_ex10-1.htm" TargetMode="External"/><Relationship Id="rId136" Type="http://schemas.openxmlformats.org/officeDocument/2006/relationships/hyperlink" Target="https://www.sec.gov/Archives/edgar/data/1133416/000119312520075484/d883597dex101.htm" TargetMode="External"/><Relationship Id="rId137" Type="http://schemas.openxmlformats.org/officeDocument/2006/relationships/hyperlink" Target="https://www.sec.gov/Archives/edgar/data/1133416/000119312520075484/d883597dex102.htm" TargetMode="External"/><Relationship Id="rId138" Type="http://schemas.openxmlformats.org/officeDocument/2006/relationships/hyperlink" Target="https://www.sec.gov/Archives/edgar/data/1133416/000119312520181006/d944255dex101.htm" TargetMode="External"/><Relationship Id="rId139" Type="http://schemas.openxmlformats.org/officeDocument/2006/relationships/hyperlink" Target="https://www.sec.gov/Archives/edgar/data/1133416/000119312521120391/d135127dex101.htm" TargetMode="External"/><Relationship Id="rId140" Type="http://schemas.openxmlformats.org/officeDocument/2006/relationships/hyperlink" Target="https://www.sec.gov/Archives/edgar/data/1133416/000119312521277824/d213954dex101.htm" TargetMode="External"/><Relationship Id="rId141" Type="http://schemas.openxmlformats.org/officeDocument/2006/relationships/hyperlink" Target="https://www.sec.gov/Archives/edgar/data/1133416/000119312521277824/d213954dex102.htm" TargetMode="External"/><Relationship Id="rId142" Type="http://schemas.openxmlformats.org/officeDocument/2006/relationships/hyperlink" Target="https://www.sec.gov/Archives/edgar/data/1133416/000114036121042519/brhc10032081_ex10-1.htm" TargetMode="External"/><Relationship Id="rId143" Type="http://schemas.openxmlformats.org/officeDocument/2006/relationships/hyperlink" Target="https://www.sec.gov/Archives/edgar/data/1133416/000114036122026910/brhc10039901_ex10-1.htm" TargetMode="External"/><Relationship Id="rId144" Type="http://schemas.openxmlformats.org/officeDocument/2006/relationships/hyperlink" Target="https://www.sec.gov/Archives/edgar/data/1133416/000114036122026910/brhc10039901_ex10-2.htm" TargetMode="External"/><Relationship Id="rId145" Type="http://schemas.openxmlformats.org/officeDocument/2006/relationships/hyperlink" Target="https://www.sec.gov/Archives/edgar/data/1133416/000114036122026910/brhc10039901_ex10-3.htm" TargetMode="External"/><Relationship Id="rId146" Type="http://schemas.openxmlformats.org/officeDocument/2006/relationships/hyperlink" Target="https://www.sec.gov/Archives/edgar/data/1133416/000114036122026910/brhc10039901_ex10-4.htm" TargetMode="External"/><Relationship Id="rId147" Type="http://schemas.openxmlformats.org/officeDocument/2006/relationships/hyperlink" Target="https://www.sec.gov/Archives/edgar/data/1133416/000114036122026910/brhc10039901_ex10-5.htm" TargetMode="External"/><Relationship Id="rId148" Type="http://schemas.openxmlformats.org/officeDocument/2006/relationships/hyperlink" Target="https://www.sec.gov/Archives/edgar/data/1133416/000114036124016452/ef20015363_ex10-19.htm" TargetMode="External"/><Relationship Id="rId149" Type="http://schemas.openxmlformats.org/officeDocument/2006/relationships/hyperlink" Target="https://www.sec.gov/Archives/edgar/data/1133416/000114036124016452/ef20015363_ex10-20.htm" TargetMode="External"/><Relationship Id="rId150" Type="http://schemas.openxmlformats.org/officeDocument/2006/relationships/hyperlink" Target="https://www.sec.gov/Archives/edgar/data/1133416/000114036124046726/ef20034540_ex10-1.htm" TargetMode="External"/><Relationship Id="rId151" Type="http://schemas.openxmlformats.org/officeDocument/2006/relationships/hyperlink" Target="https://www.sec.gov/Archives/edgar/data/1133416/000114036125011169/ef20039001_ex10-21.htm" TargetMode="External"/><Relationship Id="rId152" Type="http://schemas.openxmlformats.org/officeDocument/2006/relationships/hyperlink" Target="https://www.sec.gov/Archives/edgar/data/1133416/000114036125025295/ef20051584_ex10-1.htm" TargetMode="External"/><Relationship Id="rId153" Type="http://schemas.openxmlformats.org/officeDocument/2006/relationships/hyperlink" Target="https://www.sec.gov/Archives/edgar/data/1133416/000114036125046115/ef20061484_ex10-1.htm" TargetMode="External"/><Relationship Id="rId154" Type="http://schemas.openxmlformats.org/officeDocument/2006/relationships/hyperlink" Target="https://www.sec.gov/Archives/edgar/data/1133416/000114036125011169/ef20039001_ex19.htm" TargetMode="External"/><Relationship Id="rId156" Type="http://schemas.openxmlformats.org/officeDocument/2006/relationships/hyperlink" Target="https://www.sec.gov/Archives/edgar/data/1133416/000114036124016452/ef20015363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2026-03-31T07:02:48Z</dcterms:created>
  <dcterms:modified xsi:type="dcterms:W3CDTF">2026-03-31T07:02:48Z</dcterms:modified>
</cp:coreProperties>
</file>