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6001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01385"/>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8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Shlevin Harold H.</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GALECTIN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4960 PEACHTREE INDUSTRIAL BLVD., STE 240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GALECTIN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GALT</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53" w:lineRule="exact"/>
        <w:rPr>
          <w:sz w:val="24"/>
          <w:szCs w:val="24"/>
          <w:color w:val="auto"/>
        </w:rPr>
      </w:pPr>
    </w:p>
    <w:p>
      <w:pPr>
        <w:sectPr>
          <w:pgSz w:w="11900" w:h="16838" w:orient="portrait"/>
          <w:cols w:equalWidth="0" w:num="3">
            <w:col w:w="3700" w:space="200"/>
            <w:col w:w="3600" w:space="221"/>
            <w:col w:w="3359"/>
          </w:cols>
          <w:pgMar w:left="460" w:top="217" w:right="359" w:bottom="804"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720" w:type="dxa"/>
            <w:vAlign w:val="bottom"/>
            <w:gridSpan w:val="6"/>
          </w:tcPr>
          <w:p>
            <w:pPr>
              <w:jc w:val="center"/>
              <w:ind w:right="77"/>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NORCROSS</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30071</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5"/>
                <w:szCs w:val="5"/>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63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06/26/2026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center"/>
              <w:ind w:left="132"/>
              <w:spacing w:after="0"/>
              <w:rPr>
                <w:sz w:val="20"/>
                <w:szCs w:val="20"/>
                <w:color w:val="auto"/>
              </w:rPr>
            </w:pPr>
            <w:r>
              <w:rPr>
                <w:rFonts w:ascii="Times New Roman" w:cs="Times New Roman" w:eastAsia="Times New Roman" w:hAnsi="Times New Roman"/>
                <w:sz w:val="17"/>
                <w:szCs w:val="17"/>
                <w:color w:val="0000FF"/>
                <w:w w:val="93"/>
              </w:rPr>
              <w:t>7,732</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left="3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1.23</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14,232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06/26/2026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32"/>
              <w:spacing w:after="0"/>
              <w:rPr>
                <w:sz w:val="20"/>
                <w:szCs w:val="20"/>
                <w:color w:val="auto"/>
              </w:rPr>
            </w:pPr>
            <w:r>
              <w:rPr>
                <w:rFonts w:ascii="Times New Roman" w:cs="Times New Roman" w:eastAsia="Times New Roman" w:hAnsi="Times New Roman"/>
                <w:sz w:val="17"/>
                <w:szCs w:val="17"/>
                <w:color w:val="0000FF"/>
                <w:w w:val="93"/>
              </w:rPr>
              <w:t>7,732</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93"/>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5</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3"/>
              </w:rPr>
              <w:t>6,500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06/29/2026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center"/>
              <w:ind w:left="132"/>
              <w:spacing w:after="0"/>
              <w:rPr>
                <w:sz w:val="20"/>
                <w:szCs w:val="20"/>
                <w:color w:val="auto"/>
              </w:rPr>
            </w:pPr>
            <w:r>
              <w:rPr>
                <w:rFonts w:ascii="Times New Roman" w:cs="Times New Roman" w:eastAsia="Times New Roman" w:hAnsi="Times New Roman"/>
                <w:sz w:val="17"/>
                <w:szCs w:val="17"/>
                <w:color w:val="0000FF"/>
                <w:w w:val="94"/>
              </w:rPr>
              <w:t>22,268</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left="3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1.23</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28,768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06/29/2026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32"/>
              <w:spacing w:after="0"/>
              <w:rPr>
                <w:sz w:val="20"/>
                <w:szCs w:val="20"/>
                <w:color w:val="auto"/>
              </w:rPr>
            </w:pPr>
            <w:r>
              <w:rPr>
                <w:rFonts w:ascii="Times New Roman" w:cs="Times New Roman" w:eastAsia="Times New Roman" w:hAnsi="Times New Roman"/>
                <w:sz w:val="17"/>
                <w:szCs w:val="17"/>
                <w:color w:val="0000FF"/>
                <w:w w:val="94"/>
              </w:rPr>
              <w:t>22,268</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5.04</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3"/>
              </w:rPr>
              <w:t>6,500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2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w:t>
            </w:r>
          </w:p>
        </w:tc>
        <w:tc>
          <w:tcPr>
            <w:tcW w:w="160" w:type="dxa"/>
            <w:vAlign w:val="bottom"/>
          </w:tcPr>
          <w:p>
            <w:pPr>
              <w:spacing w:after="0"/>
              <w:rPr>
                <w:sz w:val="17"/>
                <w:szCs w:val="17"/>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06/26/2026</w:t>
            </w:r>
          </w:p>
        </w:tc>
        <w:tc>
          <w:tcPr>
            <w:tcW w:w="1120" w:type="dxa"/>
            <w:vAlign w:val="bottom"/>
          </w:tcPr>
          <w:p>
            <w:pPr>
              <w:spacing w:after="0"/>
              <w:rPr>
                <w:sz w:val="17"/>
                <w:szCs w:val="17"/>
                <w:color w:val="auto"/>
              </w:rPr>
            </w:pPr>
          </w:p>
        </w:tc>
        <w:tc>
          <w:tcPr>
            <w:tcW w:w="720" w:type="dxa"/>
            <w:vAlign w:val="bottom"/>
            <w:gridSpan w:val="2"/>
          </w:tcPr>
          <w:p>
            <w:pPr>
              <w:ind w:left="80"/>
              <w:spacing w:after="0" w:line="205"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3"/>
                <w:szCs w:val="13"/>
                <w:color w:val="0000FF"/>
              </w:rPr>
              <w:t>7,732</w:t>
            </w:r>
          </w:p>
        </w:tc>
        <w:tc>
          <w:tcPr>
            <w:tcW w:w="8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12/31/2025</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01/23/2035</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7,732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52,268</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2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w:t>
            </w:r>
          </w:p>
        </w:tc>
        <w:tc>
          <w:tcPr>
            <w:tcW w:w="160" w:type="dxa"/>
            <w:vAlign w:val="bottom"/>
          </w:tcPr>
          <w:p>
            <w:pPr>
              <w:spacing w:after="0"/>
              <w:rPr>
                <w:sz w:val="17"/>
                <w:szCs w:val="17"/>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06/29/2026</w:t>
            </w:r>
          </w:p>
        </w:tc>
        <w:tc>
          <w:tcPr>
            <w:tcW w:w="1120" w:type="dxa"/>
            <w:vAlign w:val="bottom"/>
          </w:tcPr>
          <w:p>
            <w:pPr>
              <w:spacing w:after="0"/>
              <w:rPr>
                <w:sz w:val="17"/>
                <w:szCs w:val="17"/>
                <w:color w:val="auto"/>
              </w:rPr>
            </w:pPr>
          </w:p>
        </w:tc>
        <w:tc>
          <w:tcPr>
            <w:tcW w:w="720" w:type="dxa"/>
            <w:vAlign w:val="bottom"/>
            <w:gridSpan w:val="2"/>
          </w:tcPr>
          <w:p>
            <w:pPr>
              <w:ind w:left="80"/>
              <w:spacing w:after="0" w:line="205"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3"/>
                <w:szCs w:val="13"/>
                <w:color w:val="0000FF"/>
              </w:rPr>
              <w:t>22,268</w:t>
            </w:r>
          </w:p>
        </w:tc>
        <w:tc>
          <w:tcPr>
            <w:tcW w:w="8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12/31/2025</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01/23/2035</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w w:val="94"/>
              </w:rPr>
              <w:t>22,268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5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made pursuant to a Rule 10b5-1 plan adopted by the reporting person on August 29. 2025, as disclosed in the Issuers Quarterly Report on Form 10-Q, filed with the SEC on November 14, 2025</w:t>
      </w:r>
    </w:p>
    <w:p>
      <w:pPr>
        <w:spacing w:after="0" w:line="18" w:lineRule="exact"/>
        <w:rPr>
          <w:rFonts w:ascii="Times New Roman" w:cs="Times New Roman" w:eastAsia="Times New Roman" w:hAnsi="Times New Roman"/>
          <w:sz w:val="13"/>
          <w:szCs w:val="13"/>
          <w:color w:val="008000"/>
        </w:rPr>
      </w:pPr>
    </w:p>
    <w:p>
      <w:pPr>
        <w:ind w:left="40" w:right="22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multiple transactions at prices ranging from $5.00 to $5.01. This amount represents the weighted average sale price of such transactions. The reporting person undertakes to provide full information regarding the number of shares sold at each separate price upon request by the Securities and Exchange Commission, the Issuer, or a security holder of the Issuer.</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100% on December 31, 2025.</w:t>
      </w:r>
    </w:p>
    <w:p>
      <w:pPr>
        <w:spacing w:after="0" w:line="42" w:lineRule="exact"/>
        <w:rPr>
          <w:rFonts w:ascii="Times New Roman" w:cs="Times New Roman" w:eastAsia="Times New Roman" w:hAnsi="Times New Roman"/>
          <w:sz w:val="13"/>
          <w:szCs w:val="13"/>
          <w:color w:val="008000"/>
        </w:rPr>
      </w:pPr>
    </w:p>
    <w:p>
      <w:pPr>
        <w:ind w:left="40" w:right="22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multiple transactions at prices ranging from $5.00 to $5.12. This amount represents the weighted average sale price of such transactions. The reporting person undertakes to provide full information regarding the number of shares sold at each separate price upon request by the Securities and Exchange Commission, the Issuer, or a security holder of the Issuer.</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Jack W. Callicutt, by power of</w:t>
            </w:r>
          </w:p>
        </w:tc>
        <w:tc>
          <w:tcPr>
            <w:tcW w:w="8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3"/>
        </w:trPr>
        <w:tc>
          <w:tcPr>
            <w:tcW w:w="5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3"/>
              </w:rPr>
              <w:t>attorney</w:t>
            </w:r>
          </w:p>
        </w:tc>
        <w:tc>
          <w:tcPr>
            <w:tcW w:w="15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57082" TargetMode="External"/><Relationship Id="rId14" Type="http://schemas.openxmlformats.org/officeDocument/2006/relationships/hyperlink" Target="http://www.sec.gov/cgi-bin/browse-edgar?action=getcompany&amp;CIK=0001133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2026-06-30T18:25:52Z</dcterms:created>
  <dcterms:modified xsi:type="dcterms:W3CDTF">2026-06-30T18:25:52Z</dcterms:modified>
</cp:coreProperties>
</file>